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tabs>
          <w:tab w:val="clear" w:pos="4513"/>
          <w:tab w:val="clear" w:pos="9026"/>
          <w:tab w:val="center" w:pos="1080" w:leader="none"/>
        </w:tabs>
        <w:ind w:left="5245"/>
        <w:rPr>
          <w:rFonts w:ascii="Arial" w:hAnsi="Arial" w:cs="Arial"/>
          <w:b/>
          <w:sz w:val="22"/>
          <w:szCs w:val="22"/>
        </w:rPr>
      </w:pPr>
      <w:r>
        <w:drawing>
          <wp:anchor distT="0" distB="0" distL="114300" distR="114300" simplePos="0" relativeHeight="2" behindDoc="0" locked="0" layoutInCell="0" allowOverlap="1">
            <wp:simplePos x="0" y="0"/>
            <wp:positionH relativeFrom="column">
              <wp:posOffset>704850</wp:posOffset>
            </wp:positionH>
            <wp:positionV relativeFrom="paragraph">
              <wp:posOffset>-209550</wp:posOffset>
            </wp:positionV>
            <wp:extent cx="1384935" cy="1571625"/>
            <wp:effectExtent l="0" t="0" r="0" b="0"/>
            <wp:wrapTight wrapText="bothSides">
              <wp:wrapPolygon edited="0">
                <wp:start x="-297" y="0"/>
                <wp:lineTo x="-297" y="21469"/>
                <wp:lineTo x="21690" y="21469"/>
                <wp:lineTo x="21690" y="0"/>
                <wp:lineTo x="-297" y="0"/>
              </wp:wrapPolygon>
            </wp:wrapTight>
            <wp:docPr id="1" name="Picture 0" descr="ch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chct.jpg"/>
                    <pic:cNvPicPr>
                      <a:picLocks noChangeAspect="1" noChangeArrowheads="1"/>
                    </pic:cNvPicPr>
                  </pic:nvPicPr>
                  <pic:blipFill>
                    <a:blip r:embed="rId2"/>
                    <a:stretch>
                      <a:fillRect/>
                    </a:stretch>
                  </pic:blipFill>
                  <pic:spPr bwMode="auto">
                    <a:xfrm>
                      <a:off x="0" y="0"/>
                      <a:ext cx="1384935" cy="1571625"/>
                    </a:xfrm>
                    <a:prstGeom prst="rect">
                      <a:avLst/>
                    </a:prstGeom>
                    <a:noFill/>
                  </pic:spPr>
                </pic:pic>
              </a:graphicData>
            </a:graphic>
          </wp:anchor>
        </w:drawing>
      </w:r>
      <w:r>
        <w:rPr>
          <w:rFonts w:cs="Arial" w:ascii="Arial" w:hAnsi="Arial"/>
          <w:b/>
          <w:sz w:val="22"/>
          <w:szCs w:val="22"/>
        </w:rPr>
        <w:t>CAREY HUT CHARITABLE TRUST</w:t>
      </w:r>
    </w:p>
    <w:p>
      <w:pPr>
        <w:pStyle w:val="Header"/>
        <w:ind w:left="5245"/>
        <w:rPr>
          <w:rFonts w:ascii="Arial" w:hAnsi="Arial" w:cs="Arial"/>
        </w:rPr>
      </w:pPr>
      <w:r>
        <w:rPr>
          <w:rFonts w:cs="Arial" w:ascii="Arial" w:hAnsi="Arial"/>
        </w:rPr>
        <w:t>Carey Hall</w:t>
      </w:r>
    </w:p>
    <w:p>
      <w:pPr>
        <w:pStyle w:val="Header"/>
        <w:ind w:left="5245"/>
        <w:rPr>
          <w:rFonts w:ascii="Arial" w:hAnsi="Arial" w:cs="Arial"/>
        </w:rPr>
      </w:pPr>
      <w:r>
        <w:rPr>
          <w:rFonts w:cs="Arial" w:ascii="Arial" w:hAnsi="Arial"/>
        </w:rPr>
        <w:t>Mistover Road</w:t>
      </w:r>
    </w:p>
    <w:p>
      <w:pPr>
        <w:pStyle w:val="Header"/>
        <w:ind w:left="5245"/>
        <w:rPr>
          <w:rFonts w:ascii="Arial" w:hAnsi="Arial" w:cs="Arial"/>
        </w:rPr>
      </w:pPr>
      <w:r>
        <w:rPr>
          <w:rFonts w:cs="Arial" w:ascii="Arial" w:hAnsi="Arial"/>
        </w:rPr>
        <w:t>Wareham</w:t>
      </w:r>
    </w:p>
    <w:p>
      <w:pPr>
        <w:pStyle w:val="Header"/>
        <w:ind w:left="5245"/>
        <w:rPr>
          <w:rFonts w:ascii="Arial" w:hAnsi="Arial" w:cs="Arial"/>
        </w:rPr>
      </w:pPr>
      <w:r>
        <w:rPr>
          <w:rFonts w:cs="Arial" w:ascii="Arial" w:hAnsi="Arial"/>
        </w:rPr>
        <w:t>BH20 4BY</w:t>
      </w:r>
    </w:p>
    <w:p>
      <w:pPr>
        <w:pStyle w:val="Normal"/>
        <w:rPr/>
      </w:pPr>
      <w:r>
        <w:rPr/>
      </w:r>
    </w:p>
    <w:p>
      <w:pPr>
        <w:pStyle w:val="Normal"/>
        <w:rPr/>
      </w:pPr>
      <w:r>
        <w:rPr/>
      </w:r>
    </w:p>
    <w:p>
      <w:pPr>
        <w:pStyle w:val="Header"/>
        <w:jc w:val="center"/>
        <w:rPr>
          <w:rFonts w:ascii="Arial" w:hAnsi="Arial" w:cs="Arial"/>
          <w:b/>
          <w:sz w:val="32"/>
          <w:szCs w:val="32"/>
        </w:rPr>
      </w:pPr>
      <w:r>
        <w:rPr>
          <w:rFonts w:cs="Arial" w:ascii="Arial" w:hAnsi="Arial"/>
          <w:b/>
          <w:sz w:val="32"/>
          <w:szCs w:val="32"/>
        </w:rPr>
        <w:t>CAREY HUT CHARITABLE TRUST</w:t>
      </w:r>
    </w:p>
    <w:p>
      <w:pPr>
        <w:pStyle w:val="Header"/>
        <w:jc w:val="center"/>
        <w:rPr>
          <w:rFonts w:ascii="Arial" w:hAnsi="Arial" w:cs="Arial"/>
          <w:b/>
          <w:sz w:val="32"/>
          <w:szCs w:val="32"/>
        </w:rPr>
      </w:pPr>
      <w:r>
        <w:rPr>
          <w:rFonts w:cs="Arial" w:ascii="Arial" w:hAnsi="Arial"/>
          <w:b/>
          <w:sz w:val="32"/>
          <w:szCs w:val="32"/>
        </w:rPr>
        <w:t>ANNUAL GENERAL MEETING</w:t>
      </w:r>
    </w:p>
    <w:p>
      <w:pPr>
        <w:pStyle w:val="Header"/>
        <w:jc w:val="center"/>
        <w:rPr>
          <w:rFonts w:ascii="Arial" w:hAnsi="Arial" w:cs="Arial"/>
          <w:b/>
          <w:sz w:val="32"/>
          <w:szCs w:val="32"/>
        </w:rPr>
      </w:pPr>
      <w:r>
        <w:rPr>
          <w:rFonts w:cs="Arial" w:ascii="Arial" w:hAnsi="Arial"/>
          <w:b/>
          <w:sz w:val="32"/>
          <w:szCs w:val="32"/>
        </w:rPr>
        <w:t>Monday 14</w:t>
      </w:r>
      <w:r>
        <w:rPr>
          <w:rFonts w:cs="Arial" w:ascii="Arial" w:hAnsi="Arial"/>
          <w:b/>
          <w:sz w:val="32"/>
          <w:szCs w:val="32"/>
          <w:vertAlign w:val="superscript"/>
        </w:rPr>
        <w:t>th</w:t>
      </w:r>
      <w:r>
        <w:rPr>
          <w:rFonts w:cs="Arial" w:ascii="Arial" w:hAnsi="Arial"/>
          <w:b/>
          <w:sz w:val="32"/>
          <w:szCs w:val="32"/>
        </w:rPr>
        <w:t xml:space="preserve"> September 2026</w:t>
      </w:r>
    </w:p>
    <w:p>
      <w:pPr>
        <w:pStyle w:val="Header"/>
        <w:jc w:val="center"/>
        <w:rPr>
          <w:rFonts w:ascii="Arial" w:hAnsi="Arial" w:cs="Arial"/>
          <w:b/>
          <w:sz w:val="32"/>
          <w:szCs w:val="32"/>
        </w:rPr>
      </w:pPr>
      <w:r>
        <w:rPr>
          <w:rFonts w:cs="Arial" w:ascii="Arial" w:hAnsi="Arial"/>
          <w:b/>
          <w:sz w:val="32"/>
          <w:szCs w:val="32"/>
        </w:rPr>
        <w:t>7.00 pm Carey Hall</w:t>
      </w:r>
    </w:p>
    <w:p>
      <w:pPr>
        <w:pStyle w:val="Header"/>
        <w:jc w:val="center"/>
        <w:rPr>
          <w:rFonts w:ascii="Arial" w:hAnsi="Arial" w:cs="Arial"/>
          <w:b/>
          <w:sz w:val="32"/>
          <w:szCs w:val="32"/>
        </w:rPr>
      </w:pPr>
      <w:r>
        <w:rPr>
          <w:rFonts w:cs="Arial" w:ascii="Arial" w:hAnsi="Arial"/>
          <w:b/>
          <w:sz w:val="32"/>
          <w:szCs w:val="32"/>
        </w:rPr>
        <w:t>AGENDA</w:t>
      </w:r>
    </w:p>
    <w:p>
      <w:pPr>
        <w:pStyle w:val="Header"/>
        <w:jc w:val="center"/>
        <w:rPr>
          <w:rFonts w:ascii="Arial" w:hAnsi="Arial" w:cs="Arial"/>
          <w:b/>
          <w:sz w:val="32"/>
          <w:szCs w:val="32"/>
        </w:rPr>
      </w:pPr>
      <w:r>
        <w:rPr>
          <w:rFonts w:cs="Arial" w:ascii="Arial" w:hAnsi="Arial"/>
          <w:b/>
          <w:sz w:val="32"/>
          <w:szCs w:val="32"/>
        </w:rPr>
      </w:r>
    </w:p>
    <w:p>
      <w:pPr>
        <w:pStyle w:val="Header"/>
        <w:numPr>
          <w:ilvl w:val="0"/>
          <w:numId w:val="0"/>
        </w:numPr>
        <w:ind w:hanging="0" w:left="1080"/>
        <w:rPr>
          <w:rFonts w:ascii="Arial" w:hAnsi="Arial" w:cs="Arial"/>
          <w:sz w:val="24"/>
          <w:szCs w:val="24"/>
        </w:rPr>
      </w:pPr>
      <w:r>
        <w:rPr>
          <w:rFonts w:cs="Arial" w:ascii="Arial" w:hAnsi="Arial"/>
          <w:sz w:val="24"/>
          <w:szCs w:val="24"/>
        </w:rPr>
      </w:r>
    </w:p>
    <w:p>
      <w:pPr>
        <w:pStyle w:val="Header"/>
        <w:numPr>
          <w:ilvl w:val="0"/>
          <w:numId w:val="0"/>
        </w:numPr>
        <w:ind w:hanging="0" w:left="1080"/>
        <w:rPr>
          <w:rFonts w:ascii="Arial" w:hAnsi="Arial" w:cs="Arial"/>
          <w:sz w:val="24"/>
          <w:szCs w:val="24"/>
        </w:rPr>
      </w:pPr>
      <w:r>
        <w:rPr>
          <w:rFonts w:cs="Arial" w:ascii="Arial" w:hAnsi="Arial"/>
          <w:sz w:val="24"/>
          <w:szCs w:val="24"/>
        </w:rPr>
      </w:r>
    </w:p>
    <w:p>
      <w:pPr>
        <w:pStyle w:val="Header"/>
        <w:numPr>
          <w:ilvl w:val="0"/>
          <w:numId w:val="1"/>
        </w:numPr>
        <w:ind w:hanging="810" w:left="1080"/>
        <w:rPr>
          <w:rFonts w:ascii="Arial" w:hAnsi="Arial" w:cs="Arial"/>
          <w:sz w:val="24"/>
          <w:szCs w:val="24"/>
        </w:rPr>
      </w:pPr>
      <w:r>
        <w:rPr>
          <w:rFonts w:cs="Arial" w:ascii="Arial" w:hAnsi="Arial"/>
          <w:sz w:val="24"/>
          <w:szCs w:val="24"/>
        </w:rPr>
        <w:t>Welcome and introductions</w:t>
      </w:r>
    </w:p>
    <w:p>
      <w:pPr>
        <w:pStyle w:val="Header"/>
        <w:numPr>
          <w:ilvl w:val="0"/>
          <w:numId w:val="1"/>
        </w:numPr>
        <w:ind w:hanging="810" w:left="1080"/>
        <w:rPr>
          <w:rFonts w:ascii="Arial" w:hAnsi="Arial" w:cs="Arial"/>
          <w:sz w:val="24"/>
          <w:szCs w:val="24"/>
        </w:rPr>
      </w:pPr>
      <w:r>
        <w:rPr>
          <w:rFonts w:cs="Arial" w:ascii="Arial" w:hAnsi="Arial"/>
          <w:sz w:val="24"/>
          <w:szCs w:val="24"/>
        </w:rPr>
        <w:t>Apologies</w:t>
      </w:r>
    </w:p>
    <w:p>
      <w:pPr>
        <w:pStyle w:val="Header"/>
        <w:numPr>
          <w:ilvl w:val="0"/>
          <w:numId w:val="1"/>
        </w:numPr>
        <w:ind w:hanging="810" w:left="1080"/>
        <w:rPr>
          <w:rFonts w:ascii="Arial" w:hAnsi="Arial" w:cs="Arial"/>
          <w:sz w:val="24"/>
          <w:szCs w:val="24"/>
        </w:rPr>
      </w:pPr>
      <w:r>
        <w:rPr>
          <w:rFonts w:cs="Arial" w:ascii="Arial" w:hAnsi="Arial"/>
          <w:sz w:val="24"/>
          <w:szCs w:val="24"/>
        </w:rPr>
        <w:t>Minutes of 2025 AGM</w:t>
      </w:r>
    </w:p>
    <w:p>
      <w:pPr>
        <w:pStyle w:val="Header"/>
        <w:numPr>
          <w:ilvl w:val="0"/>
          <w:numId w:val="1"/>
        </w:numPr>
        <w:ind w:hanging="810" w:left="1080"/>
        <w:rPr>
          <w:rFonts w:ascii="Arial" w:hAnsi="Arial" w:cs="Arial"/>
          <w:sz w:val="24"/>
          <w:szCs w:val="24"/>
        </w:rPr>
      </w:pPr>
      <w:r>
        <w:rPr>
          <w:rFonts w:cs="Arial" w:ascii="Arial" w:hAnsi="Arial"/>
          <w:sz w:val="24"/>
          <w:szCs w:val="24"/>
        </w:rPr>
        <w:t>Matters arising</w:t>
      </w:r>
    </w:p>
    <w:p>
      <w:pPr>
        <w:pStyle w:val="Header"/>
        <w:numPr>
          <w:ilvl w:val="0"/>
          <w:numId w:val="1"/>
        </w:numPr>
        <w:ind w:hanging="810" w:left="1080"/>
        <w:rPr>
          <w:rFonts w:ascii="Arial" w:hAnsi="Arial" w:cs="Arial"/>
          <w:sz w:val="24"/>
          <w:szCs w:val="24"/>
        </w:rPr>
      </w:pPr>
      <w:r>
        <w:rPr>
          <w:rFonts w:cs="Arial" w:ascii="Arial" w:hAnsi="Arial"/>
          <w:sz w:val="24"/>
          <w:szCs w:val="24"/>
        </w:rPr>
        <w:t>Trustees’ report given by Chair</w:t>
      </w:r>
    </w:p>
    <w:p>
      <w:pPr>
        <w:pStyle w:val="Header"/>
        <w:numPr>
          <w:ilvl w:val="0"/>
          <w:numId w:val="1"/>
        </w:numPr>
        <w:ind w:hanging="810" w:left="1080"/>
        <w:rPr>
          <w:rFonts w:ascii="Arial" w:hAnsi="Arial" w:cs="Arial"/>
          <w:sz w:val="24"/>
          <w:szCs w:val="24"/>
        </w:rPr>
      </w:pPr>
      <w:r>
        <w:rPr>
          <w:rFonts w:cs="Arial" w:ascii="Arial" w:hAnsi="Arial"/>
          <w:sz w:val="24"/>
          <w:szCs w:val="24"/>
        </w:rPr>
        <w:t>Treasurer’s report</w:t>
      </w:r>
    </w:p>
    <w:p>
      <w:pPr>
        <w:pStyle w:val="Header"/>
        <w:numPr>
          <w:ilvl w:val="0"/>
          <w:numId w:val="1"/>
        </w:numPr>
        <w:ind w:hanging="810" w:left="1080"/>
        <w:rPr>
          <w:rFonts w:ascii="Arial" w:hAnsi="Arial" w:cs="Arial"/>
          <w:sz w:val="24"/>
          <w:szCs w:val="24"/>
        </w:rPr>
      </w:pPr>
      <w:r>
        <w:rPr>
          <w:rFonts w:cs="Arial" w:ascii="Arial" w:hAnsi="Arial"/>
          <w:sz w:val="24"/>
          <w:szCs w:val="24"/>
        </w:rPr>
        <w:t>Booking Secretary’s report</w:t>
      </w:r>
    </w:p>
    <w:p>
      <w:pPr>
        <w:pStyle w:val="Header"/>
        <w:numPr>
          <w:ilvl w:val="0"/>
          <w:numId w:val="1"/>
        </w:numPr>
        <w:ind w:hanging="810" w:left="1080"/>
        <w:rPr>
          <w:rFonts w:ascii="Arial" w:hAnsi="Arial" w:cs="Arial"/>
          <w:sz w:val="24"/>
          <w:szCs w:val="24"/>
        </w:rPr>
      </w:pPr>
      <w:r>
        <w:rPr>
          <w:rFonts w:cs="Arial" w:ascii="Arial" w:hAnsi="Arial"/>
          <w:sz w:val="24"/>
          <w:szCs w:val="24"/>
        </w:rPr>
        <w:t>Election of committee</w:t>
      </w:r>
    </w:p>
    <w:p>
      <w:pPr>
        <w:pStyle w:val="Header"/>
        <w:numPr>
          <w:ilvl w:val="0"/>
          <w:numId w:val="0"/>
        </w:numPr>
        <w:ind w:hanging="0" w:left="1080"/>
        <w:rPr>
          <w:rFonts w:ascii="Arial" w:hAnsi="Arial" w:cs="Arial"/>
          <w:sz w:val="24"/>
          <w:szCs w:val="24"/>
        </w:rPr>
      </w:pPr>
      <w:r>
        <w:rPr>
          <w:rFonts w:cs="Arial" w:ascii="Arial" w:hAnsi="Arial"/>
          <w:sz w:val="24"/>
          <w:szCs w:val="24"/>
        </w:rPr>
        <w:t xml:space="preserve"> </w:t>
      </w:r>
    </w:p>
    <w:p>
      <w:pPr>
        <w:pStyle w:val="Header"/>
        <w:numPr>
          <w:ilvl w:val="1"/>
          <w:numId w:val="2"/>
        </w:numPr>
        <w:tabs>
          <w:tab w:val="left" w:pos="1260" w:leader="none"/>
        </w:tabs>
        <w:rPr>
          <w:rFonts w:ascii="Arial" w:hAnsi="Arial" w:cs="Arial"/>
          <w:sz w:val="24"/>
          <w:szCs w:val="24"/>
        </w:rPr>
      </w:pPr>
      <w:r>
        <w:rPr>
          <w:rFonts w:cs="Arial" w:ascii="Arial" w:hAnsi="Arial"/>
          <w:sz w:val="24"/>
          <w:szCs w:val="24"/>
        </w:rPr>
        <w:t>Chair, currently Marian Cotton</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nominated as Chair Marian Cotton</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proposed</w:t>
        <w:tab/>
        <w:t>seconded</w:t>
      </w:r>
    </w:p>
    <w:p>
      <w:pPr>
        <w:pStyle w:val="Header"/>
        <w:numPr>
          <w:ilvl w:val="1"/>
          <w:numId w:val="2"/>
        </w:numPr>
        <w:tabs>
          <w:tab w:val="clear" w:pos="4513"/>
          <w:tab w:val="clear" w:pos="9026"/>
          <w:tab w:val="left" w:pos="270" w:leader="none"/>
          <w:tab w:val="left" w:pos="1080" w:leader="none"/>
          <w:tab w:val="left" w:pos="1260" w:leader="none"/>
        </w:tabs>
        <w:rPr>
          <w:rFonts w:ascii="Arial" w:hAnsi="Arial" w:cs="Arial"/>
          <w:sz w:val="24"/>
          <w:szCs w:val="24"/>
        </w:rPr>
      </w:pPr>
      <w:r>
        <w:rPr>
          <w:rFonts w:cs="Arial" w:ascii="Arial" w:hAnsi="Arial"/>
          <w:sz w:val="24"/>
          <w:szCs w:val="24"/>
        </w:rPr>
        <w:t>Deputy Chair, currently vacant</w:t>
        <w:tab/>
        <w:tab/>
      </w:r>
    </w:p>
    <w:p>
      <w:pPr>
        <w:pStyle w:val="Header"/>
        <w:numPr>
          <w:ilvl w:val="1"/>
          <w:numId w:val="2"/>
        </w:numPr>
        <w:tabs>
          <w:tab w:val="left" w:pos="1260" w:leader="none"/>
        </w:tabs>
        <w:rPr>
          <w:rFonts w:ascii="Arial" w:hAnsi="Arial" w:cs="Arial"/>
          <w:sz w:val="24"/>
          <w:szCs w:val="24"/>
        </w:rPr>
      </w:pPr>
      <w:r>
        <w:rPr>
          <w:rFonts w:cs="Arial" w:ascii="Arial" w:hAnsi="Arial"/>
          <w:sz w:val="24"/>
          <w:szCs w:val="24"/>
        </w:rPr>
        <w:t>Treasurer, currently Mike Pollard, Julie Bradshaw</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nominated as Treasurer, Mike Pollard, Julie Bradshaw</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proposed</w:t>
        <w:tab/>
        <w:t>seconded</w:t>
      </w:r>
    </w:p>
    <w:p>
      <w:pPr>
        <w:pStyle w:val="Header"/>
        <w:numPr>
          <w:ilvl w:val="1"/>
          <w:numId w:val="2"/>
        </w:numPr>
        <w:tabs>
          <w:tab w:val="left" w:pos="1260" w:leader="none"/>
        </w:tabs>
        <w:rPr>
          <w:rFonts w:ascii="Arial" w:hAnsi="Arial" w:cs="Arial"/>
          <w:sz w:val="24"/>
          <w:szCs w:val="24"/>
        </w:rPr>
      </w:pPr>
      <w:r>
        <w:rPr>
          <w:rFonts w:cs="Arial" w:ascii="Arial" w:hAnsi="Arial"/>
          <w:sz w:val="24"/>
          <w:szCs w:val="24"/>
        </w:rPr>
        <w:t>Booking Secretary, currently Sue Dean</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nominated as Booking Secretary, Sue Dean</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proposed</w:t>
        <w:tab/>
        <w:t>seconded</w:t>
      </w:r>
    </w:p>
    <w:p>
      <w:pPr>
        <w:pStyle w:val="Header"/>
        <w:numPr>
          <w:ilvl w:val="1"/>
          <w:numId w:val="2"/>
        </w:numPr>
        <w:tabs>
          <w:tab w:val="left" w:pos="1260" w:leader="none"/>
        </w:tabs>
        <w:rPr>
          <w:rFonts w:ascii="Arial" w:hAnsi="Arial" w:cs="Arial"/>
          <w:sz w:val="24"/>
          <w:szCs w:val="24"/>
        </w:rPr>
      </w:pPr>
      <w:r>
        <w:rPr>
          <w:rFonts w:cs="Arial" w:ascii="Arial" w:hAnsi="Arial"/>
          <w:sz w:val="24"/>
          <w:szCs w:val="24"/>
        </w:rPr>
        <w:t>Secretary, currently Julie Bradshaw</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nominated as Secretary Julie Bradshaw</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proposed</w:t>
        <w:tab/>
        <w:t>seconded</w:t>
      </w:r>
    </w:p>
    <w:p>
      <w:pPr>
        <w:pStyle w:val="Header"/>
        <w:numPr>
          <w:ilvl w:val="1"/>
          <w:numId w:val="2"/>
        </w:numPr>
        <w:tabs>
          <w:tab w:val="left" w:pos="1260" w:leader="none"/>
        </w:tabs>
        <w:rPr>
          <w:rFonts w:ascii="Arial" w:hAnsi="Arial" w:cs="Arial"/>
          <w:sz w:val="24"/>
          <w:szCs w:val="24"/>
        </w:rPr>
      </w:pPr>
      <w:r>
        <w:rPr>
          <w:rFonts w:cs="Arial" w:ascii="Arial" w:hAnsi="Arial"/>
          <w:sz w:val="24"/>
          <w:szCs w:val="24"/>
        </w:rPr>
        <w:t xml:space="preserve">  </w:t>
      </w:r>
      <w:r>
        <w:rPr>
          <w:rFonts w:cs="Arial" w:ascii="Arial" w:hAnsi="Arial"/>
          <w:sz w:val="24"/>
          <w:szCs w:val="24"/>
        </w:rPr>
        <w:t>Book-keeper, currently Laura Leach</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nominated as Book-keeper, Laura Leach</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proposed</w:t>
        <w:tab/>
        <w:t>seconded</w:t>
      </w:r>
    </w:p>
    <w:p>
      <w:pPr>
        <w:pStyle w:val="Header"/>
        <w:numPr>
          <w:ilvl w:val="1"/>
          <w:numId w:val="2"/>
        </w:numPr>
        <w:tabs>
          <w:tab w:val="left" w:pos="1260" w:leader="none"/>
        </w:tabs>
        <w:rPr>
          <w:rFonts w:ascii="Arial" w:hAnsi="Arial" w:cs="Arial"/>
          <w:sz w:val="24"/>
          <w:szCs w:val="24"/>
        </w:rPr>
      </w:pPr>
      <w:r>
        <w:rPr>
          <w:rFonts w:cs="Arial" w:ascii="Arial" w:hAnsi="Arial"/>
          <w:sz w:val="24"/>
          <w:szCs w:val="24"/>
        </w:rPr>
        <w:t>Committee members in addition to those above, currently</w:t>
      </w:r>
    </w:p>
    <w:p>
      <w:pPr>
        <w:pStyle w:val="Header"/>
        <w:numPr>
          <w:ilvl w:val="0"/>
          <w:numId w:val="0"/>
        </w:numPr>
        <w:tabs>
          <w:tab w:val="left" w:pos="1260" w:leader="none"/>
        </w:tabs>
        <w:ind w:hanging="0" w:left="1440"/>
        <w:rPr>
          <w:rFonts w:ascii="Arial" w:hAnsi="Arial" w:cs="Arial"/>
          <w:sz w:val="24"/>
          <w:szCs w:val="24"/>
        </w:rPr>
      </w:pPr>
      <w:r>
        <w:rPr>
          <w:rFonts w:cs="Arial" w:ascii="Arial" w:hAnsi="Arial"/>
          <w:sz w:val="24"/>
          <w:szCs w:val="24"/>
        </w:rPr>
        <w:t xml:space="preserve">(Sue Dean represents Sandford and Wareham WI and Wareham Town Council) </w:t>
      </w:r>
    </w:p>
    <w:p>
      <w:pPr>
        <w:pStyle w:val="Header"/>
        <w:tabs>
          <w:tab w:val="left" w:pos="1260" w:leader="none"/>
        </w:tabs>
        <w:ind w:left="1440"/>
        <w:rPr>
          <w:rFonts w:ascii="Arial" w:hAnsi="Arial" w:cs="Arial"/>
          <w:sz w:val="24"/>
          <w:szCs w:val="24"/>
        </w:rPr>
      </w:pPr>
      <w:r>
        <w:rPr>
          <w:rFonts w:cs="Arial" w:ascii="Arial" w:hAnsi="Arial"/>
          <w:sz w:val="24"/>
          <w:szCs w:val="24"/>
        </w:rPr>
        <w:t>Sue Reeves, local resident and Carey Short Mat Bowls</w:t>
      </w:r>
    </w:p>
    <w:p>
      <w:pPr>
        <w:pStyle w:val="Header"/>
        <w:tabs>
          <w:tab w:val="left" w:pos="1260" w:leader="none"/>
        </w:tabs>
        <w:ind w:left="1440"/>
        <w:rPr>
          <w:rFonts w:ascii="Arial" w:hAnsi="Arial" w:cs="Arial"/>
          <w:sz w:val="24"/>
          <w:szCs w:val="24"/>
        </w:rPr>
      </w:pPr>
      <w:r>
        <w:rPr>
          <w:rFonts w:cs="Arial" w:ascii="Arial" w:hAnsi="Arial"/>
          <w:sz w:val="24"/>
          <w:szCs w:val="24"/>
        </w:rPr>
        <w:t>Richard Weaver represents Wareham Lions</w:t>
      </w:r>
    </w:p>
    <w:p>
      <w:pPr>
        <w:pStyle w:val="Header"/>
        <w:tabs>
          <w:tab w:val="left" w:pos="1260" w:leader="none"/>
        </w:tabs>
        <w:ind w:left="1440"/>
        <w:rPr>
          <w:rFonts w:ascii="Arial" w:hAnsi="Arial" w:cs="Arial"/>
          <w:sz w:val="24"/>
          <w:szCs w:val="24"/>
        </w:rPr>
      </w:pPr>
      <w:r>
        <w:rPr>
          <w:rFonts w:cs="Arial" w:ascii="Arial" w:hAnsi="Arial"/>
          <w:sz w:val="24"/>
          <w:szCs w:val="24"/>
        </w:rPr>
        <w:t>Les Wright represents Purbeck Association of the National Trust</w:t>
      </w:r>
    </w:p>
    <w:p>
      <w:pPr>
        <w:pStyle w:val="Header"/>
        <w:tabs>
          <w:tab w:val="left" w:pos="1260" w:leader="none"/>
        </w:tabs>
        <w:ind w:left="1440"/>
        <w:rPr>
          <w:rFonts w:ascii="Arial" w:hAnsi="Arial" w:cs="Arial"/>
          <w:sz w:val="24"/>
          <w:szCs w:val="24"/>
        </w:rPr>
      </w:pPr>
      <w:r>
        <w:rPr>
          <w:rFonts w:cs="Arial" w:ascii="Arial" w:hAnsi="Arial"/>
          <w:sz w:val="24"/>
          <w:szCs w:val="24"/>
        </w:rPr>
        <w:t>Leon Somerville was coopted during the year but has handed over his contribution on social media to Theo Street</w:t>
      </w:r>
    </w:p>
    <w:p>
      <w:pPr>
        <w:pStyle w:val="Header"/>
        <w:tabs>
          <w:tab w:val="left" w:pos="1260" w:leader="none"/>
        </w:tabs>
        <w:ind w:left="1440"/>
        <w:rPr>
          <w:rFonts w:ascii="Arial" w:hAnsi="Arial" w:cs="Arial"/>
          <w:sz w:val="24"/>
          <w:szCs w:val="24"/>
        </w:rPr>
      </w:pPr>
      <w:r>
        <w:rPr>
          <w:rFonts w:cs="Arial" w:ascii="Arial" w:hAnsi="Arial"/>
          <w:sz w:val="24"/>
          <w:szCs w:val="24"/>
        </w:rPr>
        <w:t>nominated Sue Reeves, Richard Weaver, Les Wright, Theo Street</w:t>
      </w:r>
    </w:p>
    <w:p>
      <w:pPr>
        <w:pStyle w:val="Header"/>
        <w:tabs>
          <w:tab w:val="left" w:pos="1260" w:leader="none"/>
        </w:tabs>
        <w:ind w:left="1440"/>
        <w:rPr>
          <w:rFonts w:ascii="Arial" w:hAnsi="Arial" w:cs="Arial"/>
          <w:sz w:val="24"/>
          <w:szCs w:val="24"/>
        </w:rPr>
      </w:pPr>
      <w:r>
        <w:rPr>
          <w:rFonts w:cs="Arial" w:ascii="Arial" w:hAnsi="Arial"/>
          <w:sz w:val="24"/>
          <w:szCs w:val="24"/>
        </w:rPr>
        <w:t>proposed</w:t>
        <w:tab/>
        <w:t>seconded</w:t>
      </w:r>
    </w:p>
    <w:p>
      <w:pPr>
        <w:pStyle w:val="Header"/>
        <w:numPr>
          <w:ilvl w:val="1"/>
          <w:numId w:val="2"/>
        </w:numPr>
        <w:tabs>
          <w:tab w:val="left" w:pos="1260" w:leader="none"/>
        </w:tabs>
        <w:rPr>
          <w:rFonts w:ascii="Arial" w:hAnsi="Arial" w:cs="Arial"/>
          <w:sz w:val="24"/>
          <w:szCs w:val="24"/>
        </w:rPr>
      </w:pPr>
      <w:r>
        <w:rPr>
          <w:rFonts w:cs="Arial" w:ascii="Arial" w:hAnsi="Arial"/>
          <w:sz w:val="24"/>
          <w:szCs w:val="24"/>
        </w:rPr>
        <w:t xml:space="preserve">Trustees, currently </w:t>
      </w:r>
    </w:p>
    <w:p>
      <w:pPr>
        <w:pStyle w:val="Header"/>
        <w:ind w:hanging="1170" w:left="1440"/>
        <w:rPr>
          <w:rFonts w:ascii="Arial" w:hAnsi="Arial" w:cs="Arial"/>
          <w:sz w:val="24"/>
          <w:szCs w:val="24"/>
        </w:rPr>
      </w:pPr>
      <w:r>
        <w:rPr>
          <w:rFonts w:cs="Arial" w:ascii="Arial" w:hAnsi="Arial"/>
          <w:sz w:val="24"/>
          <w:szCs w:val="24"/>
        </w:rPr>
        <w:t xml:space="preserve">   </w:t>
      </w:r>
      <w:r>
        <w:rPr>
          <w:rFonts w:cs="Arial" w:ascii="Arial" w:hAnsi="Arial"/>
          <w:sz w:val="24"/>
          <w:szCs w:val="24"/>
        </w:rPr>
        <w:tab/>
        <w:t>Marian Cotton, local resident;</w:t>
      </w:r>
    </w:p>
    <w:p>
      <w:pPr>
        <w:pStyle w:val="Header"/>
        <w:ind w:hanging="1170" w:left="1440"/>
        <w:rPr>
          <w:rFonts w:ascii="Arial" w:hAnsi="Arial" w:cs="Arial"/>
          <w:sz w:val="24"/>
          <w:szCs w:val="24"/>
        </w:rPr>
      </w:pPr>
      <w:r>
        <w:rPr>
          <w:rFonts w:cs="Arial" w:ascii="Arial" w:hAnsi="Arial"/>
          <w:sz w:val="24"/>
          <w:szCs w:val="24"/>
        </w:rPr>
        <w:tab/>
        <w:t>Julie Bradshaw, local resident;</w:t>
      </w:r>
    </w:p>
    <w:p>
      <w:pPr>
        <w:pStyle w:val="Header"/>
        <w:ind w:hanging="1170" w:left="1440"/>
        <w:rPr>
          <w:rFonts w:ascii="Arial" w:hAnsi="Arial" w:cs="Arial"/>
          <w:sz w:val="24"/>
          <w:szCs w:val="24"/>
        </w:rPr>
      </w:pPr>
      <w:r>
        <w:rPr>
          <w:rFonts w:cs="Arial" w:ascii="Arial" w:hAnsi="Arial"/>
          <w:sz w:val="24"/>
          <w:szCs w:val="24"/>
        </w:rPr>
        <w:tab/>
        <w:t>Sue Reeves, Carey Short Mat Bowls;</w:t>
      </w:r>
    </w:p>
    <w:p>
      <w:pPr>
        <w:pStyle w:val="Header"/>
        <w:ind w:hanging="1170" w:left="1440"/>
        <w:rPr>
          <w:rFonts w:ascii="Arial" w:hAnsi="Arial" w:cs="Arial"/>
          <w:sz w:val="24"/>
          <w:szCs w:val="24"/>
        </w:rPr>
      </w:pPr>
      <w:r>
        <w:rPr>
          <w:rFonts w:cs="Arial" w:ascii="Arial" w:hAnsi="Arial"/>
          <w:sz w:val="24"/>
          <w:szCs w:val="24"/>
        </w:rPr>
        <w:tab/>
        <w:t>Richard Weaver. Lions.</w:t>
      </w:r>
    </w:p>
    <w:p>
      <w:pPr>
        <w:pStyle w:val="Header"/>
        <w:widowControl/>
        <w:numPr>
          <w:ilvl w:val="0"/>
          <w:numId w:val="0"/>
        </w:numPr>
        <w:tabs>
          <w:tab w:val="clear" w:pos="4513"/>
        </w:tabs>
        <w:suppressAutoHyphens w:val="true"/>
        <w:bidi w:val="0"/>
        <w:spacing w:lineRule="auto" w:line="240" w:before="0" w:after="0"/>
        <w:ind w:hanging="0" w:left="1417" w:right="0"/>
        <w:jc w:val="left"/>
        <w:rPr>
          <w:rFonts w:ascii="Arial" w:hAnsi="Arial" w:cs="Arial"/>
          <w:sz w:val="24"/>
          <w:szCs w:val="24"/>
        </w:rPr>
      </w:pPr>
      <w:r>
        <w:rPr>
          <w:rFonts w:cs="Arial" w:ascii="Arial" w:hAnsi="Arial"/>
          <w:sz w:val="24"/>
          <w:szCs w:val="24"/>
        </w:rPr>
        <w:t>Nominated Marian Cotton, Julie Bradshaw, Sue Reeves, Richard Weaver.</w:t>
      </w:r>
    </w:p>
    <w:p>
      <w:pPr>
        <w:pStyle w:val="Header"/>
        <w:widowControl/>
        <w:numPr>
          <w:ilvl w:val="0"/>
          <w:numId w:val="0"/>
        </w:numPr>
        <w:tabs>
          <w:tab w:val="clear" w:pos="4513"/>
          <w:tab w:val="clear" w:pos="9026"/>
          <w:tab w:val="left" w:pos="3971" w:leader="none"/>
          <w:tab w:val="right" w:pos="9185" w:leader="none"/>
        </w:tabs>
        <w:suppressAutoHyphens w:val="true"/>
        <w:bidi w:val="0"/>
        <w:spacing w:lineRule="auto" w:line="240" w:before="0" w:after="0"/>
        <w:ind w:hanging="0" w:left="1417" w:right="0"/>
        <w:jc w:val="left"/>
        <w:rPr>
          <w:rFonts w:ascii="Arial" w:hAnsi="Arial" w:cs="Arial"/>
          <w:sz w:val="24"/>
          <w:szCs w:val="24"/>
        </w:rPr>
      </w:pPr>
      <w:r>
        <w:rPr>
          <w:rFonts w:cs="Arial" w:ascii="Arial" w:hAnsi="Arial"/>
          <w:sz w:val="24"/>
          <w:szCs w:val="24"/>
        </w:rPr>
        <w:t>proposed</w:t>
        <w:tab/>
        <w:t>seconded</w:t>
        <w:tab/>
      </w:r>
    </w:p>
    <w:p>
      <w:pPr>
        <w:pStyle w:val="Header"/>
        <w:numPr>
          <w:ilvl w:val="0"/>
          <w:numId w:val="1"/>
        </w:numPr>
        <w:ind w:hanging="810" w:left="1080"/>
        <w:rPr>
          <w:rFonts w:ascii="Arial" w:hAnsi="Arial" w:cs="Arial"/>
          <w:sz w:val="24"/>
          <w:szCs w:val="24"/>
        </w:rPr>
      </w:pPr>
      <w:r>
        <w:rPr>
          <w:rFonts w:cs="Arial" w:ascii="Arial" w:hAnsi="Arial"/>
          <w:sz w:val="24"/>
          <w:szCs w:val="24"/>
        </w:rPr>
        <w:t>Priorities for the year 2026/27.</w:t>
      </w:r>
    </w:p>
    <w:p>
      <w:pPr>
        <w:pStyle w:val="Header"/>
        <w:numPr>
          <w:ilvl w:val="0"/>
          <w:numId w:val="0"/>
        </w:numPr>
        <w:tabs>
          <w:tab w:val="clear" w:pos="4513"/>
          <w:tab w:val="center" w:pos="1702" w:leader="none"/>
        </w:tabs>
        <w:ind w:hanging="0" w:left="1080"/>
        <w:rPr>
          <w:rFonts w:ascii="Arial" w:hAnsi="Arial" w:cs="Arial"/>
          <w:sz w:val="24"/>
          <w:szCs w:val="24"/>
        </w:rPr>
      </w:pPr>
      <w:r>
        <w:rPr>
          <w:rFonts w:cs="Arial" w:ascii="Arial" w:hAnsi="Arial"/>
          <w:sz w:val="24"/>
          <w:szCs w:val="24"/>
        </w:rPr>
        <w:t>9.1</w:t>
        <w:tab/>
        <w:t xml:space="preserve"> Recruiting at least one more Trustee</w:t>
      </w:r>
    </w:p>
    <w:p>
      <w:pPr>
        <w:pStyle w:val="Header"/>
        <w:numPr>
          <w:ilvl w:val="0"/>
          <w:numId w:val="0"/>
        </w:numPr>
        <w:tabs>
          <w:tab w:val="clear" w:pos="4513"/>
          <w:tab w:val="center" w:pos="1702" w:leader="none"/>
        </w:tabs>
        <w:ind w:hanging="0" w:left="1080"/>
        <w:rPr>
          <w:rFonts w:ascii="Arial" w:hAnsi="Arial" w:cs="Arial"/>
          <w:sz w:val="24"/>
          <w:szCs w:val="24"/>
        </w:rPr>
      </w:pPr>
      <w:r>
        <w:rPr>
          <w:rFonts w:cs="Arial" w:ascii="Arial" w:hAnsi="Arial"/>
          <w:sz w:val="24"/>
          <w:szCs w:val="24"/>
        </w:rPr>
        <w:t>9.2 Acoustic panels</w:t>
      </w:r>
    </w:p>
    <w:p>
      <w:pPr>
        <w:pStyle w:val="Header"/>
        <w:numPr>
          <w:ilvl w:val="0"/>
          <w:numId w:val="0"/>
        </w:numPr>
        <w:tabs>
          <w:tab w:val="clear" w:pos="4513"/>
          <w:tab w:val="center" w:pos="1702" w:leader="none"/>
        </w:tabs>
        <w:ind w:hanging="0" w:left="1080"/>
        <w:rPr>
          <w:rFonts w:ascii="Arial" w:hAnsi="Arial" w:cs="Arial"/>
          <w:sz w:val="24"/>
          <w:szCs w:val="24"/>
        </w:rPr>
      </w:pPr>
      <w:r>
        <w:rPr>
          <w:rFonts w:cs="Arial" w:ascii="Arial" w:hAnsi="Arial"/>
          <w:sz w:val="24"/>
          <w:szCs w:val="24"/>
        </w:rPr>
        <w:t>9.3 Fundraising</w:t>
      </w:r>
    </w:p>
    <w:p>
      <w:pPr>
        <w:pStyle w:val="Header"/>
        <w:numPr>
          <w:ilvl w:val="0"/>
          <w:numId w:val="0"/>
        </w:numPr>
        <w:tabs>
          <w:tab w:val="clear" w:pos="4513"/>
          <w:tab w:val="center" w:pos="1702" w:leader="none"/>
        </w:tabs>
        <w:ind w:hanging="0" w:left="1080"/>
        <w:rPr>
          <w:rFonts w:ascii="Arial" w:hAnsi="Arial" w:cs="Arial"/>
          <w:sz w:val="24"/>
          <w:szCs w:val="24"/>
        </w:rPr>
      </w:pPr>
      <w:r>
        <w:rPr>
          <w:rFonts w:cs="Arial" w:ascii="Arial" w:hAnsi="Arial"/>
          <w:sz w:val="24"/>
          <w:szCs w:val="24"/>
        </w:rPr>
        <w:t>9.4 Consolidating financial procedures</w:t>
        <w:tab/>
      </w:r>
    </w:p>
    <w:p>
      <w:pPr>
        <w:pStyle w:val="Header"/>
        <w:numPr>
          <w:ilvl w:val="0"/>
          <w:numId w:val="1"/>
        </w:numPr>
        <w:ind w:hanging="810" w:left="1080"/>
        <w:rPr>
          <w:rFonts w:ascii="Arial" w:hAnsi="Arial" w:cs="Arial"/>
          <w:sz w:val="24"/>
          <w:szCs w:val="24"/>
        </w:rPr>
      </w:pPr>
      <w:r>
        <w:rPr>
          <w:rFonts w:cs="Arial" w:ascii="Arial" w:hAnsi="Arial"/>
          <w:sz w:val="24"/>
          <w:szCs w:val="24"/>
        </w:rPr>
        <w:t>A.O.B.</w:t>
      </w:r>
    </w:p>
    <w:p>
      <w:pPr>
        <w:pStyle w:val="Header"/>
        <w:numPr>
          <w:ilvl w:val="0"/>
          <w:numId w:val="1"/>
        </w:numPr>
        <w:ind w:hanging="810" w:left="1080"/>
        <w:rPr>
          <w:rFonts w:ascii="Arial" w:hAnsi="Arial" w:cs="Arial"/>
          <w:sz w:val="24"/>
          <w:szCs w:val="24"/>
        </w:rPr>
      </w:pPr>
      <w:r>
        <w:rPr>
          <w:rFonts w:cs="Arial" w:ascii="Arial" w:hAnsi="Arial"/>
          <w:sz w:val="24"/>
          <w:szCs w:val="24"/>
        </w:rPr>
        <w:t>Date of 2027 AGM to be decided at committee meeting 2027</w:t>
      </w:r>
    </w:p>
    <w:p>
      <w:pPr>
        <w:pStyle w:val="Header"/>
        <w:rPr>
          <w:rFonts w:ascii="Arial" w:hAnsi="Arial" w:cs="Arial"/>
          <w:sz w:val="24"/>
          <w:szCs w:val="24"/>
        </w:rPr>
      </w:pPr>
      <w:r>
        <w:rPr>
          <w:rFonts w:cs="Arial" w:ascii="Arial" w:hAnsi="Arial"/>
          <w:sz w:val="24"/>
          <w:szCs w:val="24"/>
        </w:rPr>
      </w:r>
    </w:p>
    <w:p>
      <w:pPr>
        <w:pStyle w:val="Header"/>
        <w:rPr>
          <w:rFonts w:ascii="Arial" w:hAnsi="Arial" w:cs="Arial"/>
          <w:sz w:val="24"/>
          <w:szCs w:val="24"/>
        </w:rPr>
      </w:pPr>
      <w:r>
        <w:rPr>
          <w:rFonts w:cs="Arial" w:ascii="Arial" w:hAnsi="Arial"/>
          <w:sz w:val="24"/>
          <w:szCs w:val="24"/>
        </w:rPr>
        <w:t>Appendix: minutes of 2025 AGM.</w:t>
      </w:r>
    </w:p>
    <w:p>
      <w:pPr>
        <w:pStyle w:val="Header"/>
        <w:rPr>
          <w:rFonts w:ascii="Arial" w:hAnsi="Arial" w:cs="Arial"/>
          <w:sz w:val="24"/>
          <w:szCs w:val="24"/>
        </w:rPr>
      </w:pPr>
      <w:r>
        <w:rPr>
          <w:rFonts w:cs="Arial" w:ascii="Arial" w:hAnsi="Arial"/>
          <w:sz w:val="24"/>
          <w:szCs w:val="24"/>
        </w:rPr>
        <w:t>Appendices to follow: accounts 2025/2026, Trustees’ Report</w:t>
      </w:r>
    </w:p>
    <w:p>
      <w:pPr>
        <w:pStyle w:val="Header"/>
        <w:rPr>
          <w:rFonts w:ascii="Arial" w:hAnsi="Arial" w:cs="Arial"/>
          <w:sz w:val="24"/>
          <w:szCs w:val="24"/>
        </w:rPr>
      </w:pPr>
      <w:r>
        <w:rPr>
          <w:rFonts w:cs="Arial" w:ascii="Arial" w:hAnsi="Arial"/>
          <w:sz w:val="24"/>
          <w:szCs w:val="24"/>
        </w:rPr>
      </w:r>
      <w:r>
        <w:br w:type="page"/>
      </w:r>
    </w:p>
    <w:p>
      <w:pPr>
        <w:pStyle w:val="Normal"/>
        <w:spacing w:before="0" w:after="200"/>
        <w:rPr>
          <w:rFonts w:ascii="Verdana" w:hAnsi="Verdana"/>
          <w:sz w:val="24"/>
          <w:szCs w:val="24"/>
          <w:lang w:val="en-GB"/>
        </w:rPr>
      </w:pPr>
      <w:r>
        <w:rPr>
          <w:rFonts w:ascii="Verdana" w:hAnsi="Verdana"/>
          <w:sz w:val="24"/>
          <w:szCs w:val="24"/>
          <w:lang w:val="en-GB"/>
        </w:rPr>
        <w:t>Carey Hut Charitable Trust AGM 2025 Minutes</w:t>
      </w:r>
    </w:p>
    <w:p>
      <w:pPr>
        <w:pStyle w:val="Normal"/>
        <w:rPr>
          <w:rFonts w:ascii="Verdana" w:hAnsi="Verdana"/>
          <w:sz w:val="24"/>
          <w:szCs w:val="24"/>
          <w:lang w:val="en-GB"/>
        </w:rPr>
      </w:pPr>
      <w:r>
        <w:rPr>
          <w:rFonts w:ascii="Verdana" w:hAnsi="Verdana"/>
          <w:sz w:val="24"/>
          <w:szCs w:val="24"/>
          <w:lang w:val="en-GB"/>
        </w:rPr>
        <w:t>Meeting 08.09.2025</w:t>
      </w:r>
    </w:p>
    <w:p>
      <w:pPr>
        <w:pStyle w:val="Normal"/>
        <w:rPr>
          <w:rFonts w:ascii="Verdana" w:hAnsi="Verdana"/>
          <w:sz w:val="24"/>
          <w:szCs w:val="24"/>
          <w:lang w:val="en-GB"/>
        </w:rPr>
      </w:pPr>
      <w:r>
        <w:rPr>
          <w:rFonts w:ascii="Verdana" w:hAnsi="Verdana"/>
          <w:sz w:val="24"/>
          <w:szCs w:val="24"/>
          <w:lang w:val="en-GB"/>
        </w:rPr>
        <w:t>Present: Helen Geach, Trustee, Treasurer, Carey Crafters; Marian Cotton, Trustee, Chair, local resident; Julie Bradshaw, Trustee, Secretary, Short Mat Bowls; Sue Dean, Booking Secretary, Committee, Sandford and Wareham WI; Sue Reeves, Committee, Short Mat Bowls; Rhonda Walker, Wareham Visually Impaired and Blind Club; Harparkash Rispin, Wareham Creative Textiles; Sophia Wright, Purbeck Association of the National Trust; Frances Usler, local resident; Angela Joynson, local resident; Fred Evens, local resident; Beryl Ezzard, Friends of Wareham Railway Station, Irina Song, Dorset Art Classes; Janice Dutton.</w:t>
      </w:r>
    </w:p>
    <w:p>
      <w:pPr>
        <w:pStyle w:val="Normal"/>
        <w:rPr>
          <w:rFonts w:ascii="Verdana" w:hAnsi="Verdana"/>
          <w:sz w:val="24"/>
          <w:szCs w:val="24"/>
          <w:lang w:val="en-GB"/>
        </w:rPr>
      </w:pPr>
      <w:r>
        <w:rPr>
          <w:rFonts w:ascii="Verdana" w:hAnsi="Verdana"/>
          <w:sz w:val="24"/>
          <w:szCs w:val="24"/>
          <w:lang w:val="en-GB"/>
        </w:rPr>
      </w:r>
    </w:p>
    <w:p>
      <w:pPr>
        <w:pStyle w:val="ListParagraph"/>
        <w:numPr>
          <w:ilvl w:val="0"/>
          <w:numId w:val="1"/>
        </w:numPr>
        <w:tabs>
          <w:tab w:val="clear" w:pos="720"/>
          <w:tab w:val="left" w:pos="0" w:leader="none"/>
        </w:tabs>
        <w:rPr>
          <w:rFonts w:ascii="Verdana" w:hAnsi="Verdana"/>
          <w:sz w:val="24"/>
          <w:szCs w:val="24"/>
          <w:lang w:val="en-GB"/>
        </w:rPr>
      </w:pPr>
      <w:r>
        <w:rPr>
          <w:rFonts w:ascii="Verdana" w:hAnsi="Verdana"/>
          <w:sz w:val="24"/>
          <w:szCs w:val="24"/>
          <w:lang w:val="en-GB"/>
        </w:rPr>
        <w:t>Welcome and introductions</w:t>
      </w:r>
    </w:p>
    <w:p>
      <w:pPr>
        <w:pStyle w:val="ListParagraph"/>
        <w:numPr>
          <w:ilvl w:val="0"/>
          <w:numId w:val="1"/>
        </w:numPr>
        <w:tabs>
          <w:tab w:val="clear" w:pos="720"/>
          <w:tab w:val="left" w:pos="0" w:leader="none"/>
        </w:tabs>
        <w:rPr>
          <w:rFonts w:ascii="Verdana" w:hAnsi="Verdana"/>
          <w:sz w:val="24"/>
          <w:szCs w:val="24"/>
          <w:lang w:val="en-GB"/>
        </w:rPr>
      </w:pPr>
      <w:r>
        <w:rPr>
          <w:rFonts w:ascii="Verdana" w:hAnsi="Verdana"/>
          <w:sz w:val="24"/>
          <w:szCs w:val="24"/>
          <w:lang w:val="en-GB"/>
        </w:rPr>
        <w:t xml:space="preserve">Apologies </w:t>
      </w:r>
    </w:p>
    <w:p>
      <w:pPr>
        <w:pStyle w:val="ListParagraph"/>
        <w:tabs>
          <w:tab w:val="clear" w:pos="720"/>
          <w:tab w:val="left" w:pos="0" w:leader="none"/>
        </w:tabs>
        <w:ind w:left="360"/>
        <w:rPr>
          <w:rFonts w:ascii="Verdana" w:hAnsi="Verdana"/>
          <w:sz w:val="24"/>
          <w:szCs w:val="24"/>
          <w:lang w:val="en-GB"/>
        </w:rPr>
      </w:pPr>
      <w:r>
        <w:rPr>
          <w:rFonts w:ascii="Verdana" w:hAnsi="Verdana"/>
          <w:sz w:val="24"/>
          <w:szCs w:val="24"/>
          <w:lang w:val="en-GB"/>
        </w:rPr>
        <w:t>Apologies were received from Doreen Cleaton; Jayne Critchlow, Poole Heart Support Group; Ray and Angela Jones; Mariel Harrison, Sing &amp; Sign.</w:t>
      </w:r>
    </w:p>
    <w:p>
      <w:pPr>
        <w:pStyle w:val="ListParagraph"/>
        <w:tabs>
          <w:tab w:val="clear" w:pos="720"/>
          <w:tab w:val="left" w:pos="0" w:leader="none"/>
        </w:tabs>
        <w:ind w:left="360"/>
        <w:rPr>
          <w:rFonts w:ascii="Verdana" w:hAnsi="Verdana"/>
          <w:sz w:val="24"/>
          <w:szCs w:val="24"/>
          <w:lang w:val="en-GB"/>
        </w:rPr>
      </w:pPr>
      <w:r>
        <w:rPr>
          <w:rFonts w:ascii="Verdana" w:hAnsi="Verdana"/>
          <w:sz w:val="24"/>
          <w:szCs w:val="24"/>
          <w:lang w:val="en-GB"/>
        </w:rPr>
      </w:r>
    </w:p>
    <w:p>
      <w:pPr>
        <w:pStyle w:val="ListParagraph"/>
        <w:numPr>
          <w:ilvl w:val="0"/>
          <w:numId w:val="1"/>
        </w:numPr>
        <w:tabs>
          <w:tab w:val="clear" w:pos="720"/>
          <w:tab w:val="left" w:pos="0" w:leader="none"/>
        </w:tabs>
        <w:rPr>
          <w:rFonts w:ascii="Verdana" w:hAnsi="Verdana"/>
          <w:sz w:val="24"/>
          <w:szCs w:val="24"/>
          <w:lang w:val="en-GB"/>
        </w:rPr>
      </w:pPr>
      <w:r>
        <w:rPr>
          <w:rFonts w:ascii="Verdana" w:hAnsi="Verdana"/>
          <w:sz w:val="24"/>
          <w:szCs w:val="24"/>
          <w:lang w:val="en-GB"/>
        </w:rPr>
        <w:t>Minutes of 2024 AGM</w:t>
        <w:tab/>
        <w:tab/>
        <w:tab/>
        <w:tab/>
        <w:tab/>
      </w:r>
    </w:p>
    <w:p>
      <w:pPr>
        <w:pStyle w:val="ListParagraph"/>
        <w:tabs>
          <w:tab w:val="clear" w:pos="720"/>
          <w:tab w:val="left" w:pos="0" w:leader="none"/>
        </w:tabs>
        <w:ind w:left="360"/>
        <w:rPr>
          <w:rFonts w:ascii="Verdana" w:hAnsi="Verdana"/>
          <w:sz w:val="24"/>
          <w:szCs w:val="24"/>
          <w:lang w:val="en-GB"/>
        </w:rPr>
      </w:pPr>
      <w:r>
        <w:rPr>
          <w:rFonts w:ascii="Verdana" w:hAnsi="Verdana"/>
          <w:sz w:val="24"/>
          <w:szCs w:val="24"/>
          <w:lang w:val="en-GB"/>
        </w:rPr>
        <w:t>Agreed</w:t>
      </w:r>
    </w:p>
    <w:p>
      <w:pPr>
        <w:pStyle w:val="ListParagraph"/>
        <w:tabs>
          <w:tab w:val="clear" w:pos="720"/>
          <w:tab w:val="left" w:pos="0" w:leader="none"/>
        </w:tabs>
        <w:ind w:hanging="360" w:left="360"/>
        <w:rPr>
          <w:rFonts w:ascii="Verdana" w:hAnsi="Verdana"/>
          <w:sz w:val="24"/>
          <w:szCs w:val="24"/>
          <w:lang w:val="en-GB"/>
        </w:rPr>
      </w:pPr>
      <w:r>
        <w:rPr>
          <w:rFonts w:ascii="Verdana" w:hAnsi="Verdana"/>
          <w:sz w:val="24"/>
          <w:szCs w:val="24"/>
          <w:lang w:val="en-GB"/>
        </w:rPr>
        <w:tab/>
      </w:r>
    </w:p>
    <w:p>
      <w:pPr>
        <w:pStyle w:val="ListParagraph"/>
        <w:numPr>
          <w:ilvl w:val="0"/>
          <w:numId w:val="1"/>
        </w:numPr>
        <w:tabs>
          <w:tab w:val="clear" w:pos="720"/>
          <w:tab w:val="left" w:pos="360" w:leader="none"/>
        </w:tabs>
        <w:spacing w:before="0" w:after="0"/>
        <w:contextualSpacing/>
        <w:rPr>
          <w:rFonts w:ascii="Verdana" w:hAnsi="Verdana"/>
          <w:sz w:val="24"/>
          <w:szCs w:val="24"/>
          <w:lang w:val="en-GB"/>
        </w:rPr>
      </w:pPr>
      <w:r>
        <w:rPr>
          <w:rFonts w:ascii="Verdana" w:hAnsi="Verdana"/>
          <w:sz w:val="24"/>
          <w:szCs w:val="24"/>
          <w:lang w:val="en-GB"/>
        </w:rPr>
        <w:t>Matters arising</w:t>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t>4.1</w:t>
        <w:tab/>
        <w:t xml:space="preserve">Bug houses had been installed and an entry made in the Britain In Bloom competition. The Men’s Shed built a bug hotel and bug boxes. Children from TOPS nursery built a bug hotel. </w:t>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t>4.2</w:t>
        <w:tab/>
        <w:t>Spending priorities 2024-2025, the following had been purchased: cooker and fridge, emergency lighting check, cage for the outside heating unit, floor cleaning. The coving had been booked for the August 2 week closure because the strong smell of the glue needs at least one day to go off.</w:t>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r>
    </w:p>
    <w:p>
      <w:pPr>
        <w:pStyle w:val="ListParagraph"/>
        <w:numPr>
          <w:ilvl w:val="0"/>
          <w:numId w:val="1"/>
        </w:numPr>
        <w:tabs>
          <w:tab w:val="clear" w:pos="720"/>
          <w:tab w:val="left" w:pos="360" w:leader="none"/>
        </w:tabs>
        <w:spacing w:before="0" w:after="0"/>
        <w:contextualSpacing/>
        <w:rPr>
          <w:rFonts w:ascii="Verdana" w:hAnsi="Verdana"/>
          <w:sz w:val="24"/>
          <w:szCs w:val="24"/>
          <w:lang w:val="en-GB"/>
        </w:rPr>
      </w:pPr>
      <w:r>
        <w:rPr>
          <w:rFonts w:ascii="Verdana" w:hAnsi="Verdana"/>
          <w:sz w:val="24"/>
          <w:szCs w:val="24"/>
          <w:lang w:val="en-GB"/>
        </w:rPr>
        <w:t>Chair’s report</w:t>
      </w:r>
    </w:p>
    <w:p>
      <w:pPr>
        <w:pStyle w:val="ListParagraph"/>
        <w:numPr>
          <w:ilvl w:val="0"/>
          <w:numId w:val="0"/>
        </w:numPr>
        <w:tabs>
          <w:tab w:val="clear" w:pos="720"/>
          <w:tab w:val="left" w:pos="360" w:leader="none"/>
        </w:tabs>
        <w:spacing w:before="0" w:after="0"/>
        <w:ind w:hanging="0" w:left="360"/>
        <w:contextualSpacing/>
        <w:rPr>
          <w:rFonts w:ascii="Verdana" w:hAnsi="Verdana"/>
          <w:sz w:val="24"/>
          <w:szCs w:val="24"/>
          <w:lang w:val="en-GB"/>
        </w:rPr>
      </w:pPr>
      <w:r>
        <w:rPr>
          <w:rFonts w:ascii="Verdana" w:hAnsi="Verdana"/>
          <w:sz w:val="24"/>
          <w:szCs w:val="24"/>
          <w:lang w:val="en-GB"/>
        </w:rPr>
        <w:t>Marian commended the strong, enthusiastic committee whose members shared the opening and closing of the hall for one-off and new, regular hirers and were ready to muck in with all the jobs.</w:t>
      </w:r>
    </w:p>
    <w:p>
      <w:pPr>
        <w:pStyle w:val="ListParagraph"/>
        <w:numPr>
          <w:ilvl w:val="0"/>
          <w:numId w:val="0"/>
        </w:numPr>
        <w:tabs>
          <w:tab w:val="clear" w:pos="720"/>
          <w:tab w:val="left" w:pos="360" w:leader="none"/>
        </w:tabs>
        <w:spacing w:before="0" w:after="0"/>
        <w:ind w:hanging="0" w:left="360"/>
        <w:contextualSpacing/>
        <w:rPr>
          <w:rFonts w:ascii="Verdana" w:hAnsi="Verdana"/>
          <w:sz w:val="24"/>
          <w:szCs w:val="24"/>
          <w:lang w:val="en-GB"/>
        </w:rPr>
      </w:pPr>
      <w:r>
        <w:rPr>
          <w:rFonts w:ascii="Verdana" w:hAnsi="Verdana"/>
          <w:sz w:val="24"/>
          <w:szCs w:val="24"/>
          <w:lang w:val="en-GB"/>
        </w:rPr>
        <w:t>Marian made a presentation to Helen to thank her for all her work as Booking Secretary from which she resigned during the year and Treasurer, committee member and trustee.</w:t>
      </w:r>
    </w:p>
    <w:p>
      <w:pPr>
        <w:pStyle w:val="ListParagraph"/>
        <w:numPr>
          <w:ilvl w:val="0"/>
          <w:numId w:val="0"/>
        </w:numPr>
        <w:tabs>
          <w:tab w:val="clear" w:pos="720"/>
          <w:tab w:val="left" w:pos="360" w:leader="none"/>
        </w:tabs>
        <w:spacing w:before="0" w:after="0"/>
        <w:ind w:hanging="0" w:left="360"/>
        <w:contextualSpacing/>
        <w:rPr>
          <w:rFonts w:ascii="Verdana" w:hAnsi="Verdana"/>
          <w:sz w:val="24"/>
          <w:szCs w:val="24"/>
          <w:lang w:val="en-GB"/>
        </w:rPr>
      </w:pPr>
      <w:r>
        <w:rPr>
          <w:rFonts w:ascii="Verdana" w:hAnsi="Verdana"/>
          <w:sz w:val="24"/>
          <w:szCs w:val="24"/>
          <w:lang w:val="en-GB"/>
        </w:rPr>
        <w:t xml:space="preserve">During the 2 week closure, the following work was complete: 5 year electrical installation check, 1 year emergency lighting check with some new lights installed; new water heater / urn, curtains washed and rehung, chair upholstery cleaned, new coving fixed in main hall, lobby and toilets, new notice board hung, kitchen painted, front door re-painted. </w:t>
      </w:r>
    </w:p>
    <w:p>
      <w:pPr>
        <w:pStyle w:val="ListParagraph"/>
        <w:numPr>
          <w:ilvl w:val="0"/>
          <w:numId w:val="0"/>
        </w:numPr>
        <w:tabs>
          <w:tab w:val="clear" w:pos="720"/>
          <w:tab w:val="left" w:pos="360" w:leader="none"/>
        </w:tabs>
        <w:spacing w:before="0" w:after="0"/>
        <w:ind w:hanging="0" w:left="360"/>
        <w:contextualSpacing/>
        <w:rPr>
          <w:rFonts w:ascii="Verdana" w:hAnsi="Verdana"/>
          <w:sz w:val="24"/>
          <w:szCs w:val="24"/>
          <w:lang w:val="en-GB"/>
        </w:rPr>
      </w:pPr>
      <w:r>
        <w:rPr>
          <w:rFonts w:ascii="Verdana" w:hAnsi="Verdana"/>
          <w:sz w:val="24"/>
          <w:szCs w:val="24"/>
          <w:lang w:val="en-GB"/>
        </w:rPr>
        <w:t>Next year it is planned to close the hall for one week in August to have the main hall decorated including painting the wooden panels above the entrance door in order to make the hall lighter.</w:t>
      </w:r>
    </w:p>
    <w:p>
      <w:pPr>
        <w:pStyle w:val="ListParagraph"/>
        <w:numPr>
          <w:ilvl w:val="0"/>
          <w:numId w:val="0"/>
        </w:numPr>
        <w:tabs>
          <w:tab w:val="clear" w:pos="720"/>
          <w:tab w:val="left" w:pos="360" w:leader="none"/>
        </w:tabs>
        <w:spacing w:before="0" w:after="0"/>
        <w:ind w:hanging="0" w:left="360"/>
        <w:contextualSpacing/>
        <w:rPr>
          <w:rFonts w:ascii="Verdana" w:hAnsi="Verdana"/>
          <w:sz w:val="24"/>
          <w:szCs w:val="24"/>
          <w:lang w:val="en-GB"/>
        </w:rPr>
      </w:pPr>
      <w:r>
        <w:rPr>
          <w:rFonts w:ascii="Verdana" w:hAnsi="Verdana"/>
          <w:sz w:val="24"/>
          <w:szCs w:val="24"/>
          <w:lang w:val="en-GB"/>
        </w:rPr>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r>
    </w:p>
    <w:p>
      <w:pPr>
        <w:pStyle w:val="ListParagraph"/>
        <w:numPr>
          <w:ilvl w:val="0"/>
          <w:numId w:val="1"/>
        </w:numPr>
        <w:tabs>
          <w:tab w:val="clear" w:pos="720"/>
          <w:tab w:val="left" w:pos="360" w:leader="none"/>
        </w:tabs>
        <w:spacing w:before="0" w:after="0"/>
        <w:contextualSpacing/>
        <w:rPr>
          <w:rFonts w:ascii="Verdana" w:hAnsi="Verdana"/>
          <w:sz w:val="24"/>
          <w:szCs w:val="24"/>
          <w:lang w:val="en-GB"/>
        </w:rPr>
      </w:pPr>
      <w:r>
        <w:rPr>
          <w:rFonts w:ascii="Verdana" w:hAnsi="Verdana"/>
          <w:sz w:val="24"/>
          <w:szCs w:val="24"/>
          <w:lang w:val="en-GB"/>
        </w:rPr>
        <w:t>Treasurer’s report</w:t>
      </w:r>
    </w:p>
    <w:p>
      <w:pPr>
        <w:pStyle w:val="ListParagraph"/>
        <w:numPr>
          <w:ilvl w:val="0"/>
          <w:numId w:val="0"/>
        </w:numPr>
        <w:tabs>
          <w:tab w:val="clear" w:pos="720"/>
          <w:tab w:val="left" w:pos="360" w:leader="none"/>
        </w:tabs>
        <w:spacing w:before="0" w:after="0"/>
        <w:ind w:hanging="0" w:left="360"/>
        <w:contextualSpacing/>
        <w:rPr>
          <w:rFonts w:ascii="Verdana" w:hAnsi="Verdana"/>
          <w:sz w:val="24"/>
          <w:szCs w:val="24"/>
          <w:lang w:val="en-GB"/>
        </w:rPr>
      </w:pPr>
      <w:r>
        <w:rPr>
          <w:rFonts w:ascii="Verdana" w:hAnsi="Verdana"/>
          <w:sz w:val="24"/>
          <w:szCs w:val="24"/>
          <w:lang w:val="en-GB"/>
        </w:rPr>
        <w:t>Current account £3,607</w:t>
      </w:r>
    </w:p>
    <w:p>
      <w:pPr>
        <w:pStyle w:val="ListParagraph"/>
        <w:numPr>
          <w:ilvl w:val="0"/>
          <w:numId w:val="0"/>
        </w:numPr>
        <w:tabs>
          <w:tab w:val="clear" w:pos="720"/>
          <w:tab w:val="left" w:pos="360" w:leader="none"/>
        </w:tabs>
        <w:spacing w:before="0" w:after="0"/>
        <w:ind w:hanging="0" w:left="360"/>
        <w:contextualSpacing/>
        <w:rPr>
          <w:rFonts w:ascii="Verdana" w:hAnsi="Verdana"/>
          <w:sz w:val="24"/>
          <w:szCs w:val="24"/>
          <w:lang w:val="en-GB"/>
        </w:rPr>
      </w:pPr>
      <w:r>
        <w:rPr>
          <w:rFonts w:ascii="Verdana" w:hAnsi="Verdana"/>
          <w:sz w:val="24"/>
          <w:szCs w:val="24"/>
          <w:lang w:val="en-GB"/>
        </w:rPr>
        <w:t>Savings account £33,523 which includes £9,000 grant for the solar panels.</w:t>
      </w:r>
    </w:p>
    <w:p>
      <w:pPr>
        <w:pStyle w:val="ListParagraph"/>
        <w:numPr>
          <w:ilvl w:val="0"/>
          <w:numId w:val="0"/>
        </w:numPr>
        <w:tabs>
          <w:tab w:val="clear" w:pos="720"/>
          <w:tab w:val="left" w:pos="360" w:leader="none"/>
        </w:tabs>
        <w:spacing w:before="0" w:after="0"/>
        <w:ind w:hanging="0" w:left="360"/>
        <w:contextualSpacing/>
        <w:rPr>
          <w:rFonts w:ascii="Verdana" w:hAnsi="Verdana"/>
          <w:sz w:val="24"/>
          <w:szCs w:val="24"/>
          <w:lang w:val="en-GB"/>
        </w:rPr>
      </w:pPr>
      <w:r>
        <w:rPr>
          <w:rFonts w:ascii="Verdana" w:hAnsi="Verdana"/>
          <w:sz w:val="24"/>
          <w:szCs w:val="24"/>
          <w:lang w:val="en-GB"/>
        </w:rPr>
        <w:t>The solar panels cost £10,500; we could not apply for a larger grant from the National Lottery Community Fund as we had been awarded a grant last year. The difference will funded by proceeds from the Bingo afternoons. Many thanks to the Bingo group.</w:t>
      </w:r>
    </w:p>
    <w:p>
      <w:pPr>
        <w:pStyle w:val="ListParagraph"/>
        <w:numPr>
          <w:ilvl w:val="0"/>
          <w:numId w:val="0"/>
        </w:numPr>
        <w:tabs>
          <w:tab w:val="clear" w:pos="720"/>
          <w:tab w:val="left" w:pos="360" w:leader="none"/>
        </w:tabs>
        <w:spacing w:before="0" w:after="0"/>
        <w:ind w:hanging="0" w:left="360"/>
        <w:contextualSpacing/>
        <w:rPr>
          <w:rFonts w:ascii="Verdana" w:hAnsi="Verdana"/>
          <w:sz w:val="24"/>
          <w:szCs w:val="24"/>
          <w:lang w:val="en-GB"/>
        </w:rPr>
      </w:pPr>
      <w:r>
        <w:rPr>
          <w:rFonts w:ascii="Verdana" w:hAnsi="Verdana"/>
          <w:sz w:val="24"/>
          <w:szCs w:val="24"/>
          <w:lang w:val="en-GB"/>
        </w:rPr>
        <w:t>Helen had been in dispute with Culligans, the supplier of the water heater / urn. Our previous machine, which was leased, became unfit for use and after some delay Culligans provided a new model for us to try out and, if we were satisfied, to buy instead of leasing. As soon as it was installed we realised that the new machine was unsuitable because it was impossible to fit a teapot under the spout. We informed Culligans and asked for an alternative but nothing was forthcoming. We bought a machine from another supplier and eventually Culligans agreed to release us from their contract.</w:t>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r>
    </w:p>
    <w:p>
      <w:pPr>
        <w:pStyle w:val="ListParagraph"/>
        <w:tabs>
          <w:tab w:val="clear" w:pos="720"/>
          <w:tab w:val="left" w:pos="360" w:leader="none"/>
        </w:tabs>
        <w:spacing w:before="0" w:after="0"/>
        <w:ind w:left="360"/>
        <w:contextualSpacing/>
        <w:rPr>
          <w:rFonts w:ascii="Verdana" w:hAnsi="Verdana"/>
          <w:color w:val="00B050"/>
          <w:sz w:val="24"/>
          <w:szCs w:val="24"/>
          <w:lang w:val="en-GB"/>
        </w:rPr>
      </w:pPr>
      <w:r>
        <w:rPr>
          <w:rFonts w:ascii="Verdana" w:hAnsi="Verdana"/>
          <w:color w:val="00B050"/>
          <w:sz w:val="24"/>
          <w:szCs w:val="24"/>
          <w:lang w:val="en-GB"/>
        </w:rPr>
      </w:r>
    </w:p>
    <w:p>
      <w:pPr>
        <w:pStyle w:val="ListParagraph"/>
        <w:numPr>
          <w:ilvl w:val="0"/>
          <w:numId w:val="1"/>
        </w:numPr>
        <w:tabs>
          <w:tab w:val="clear" w:pos="720"/>
          <w:tab w:val="left" w:pos="360" w:leader="none"/>
        </w:tabs>
        <w:spacing w:before="0" w:after="0"/>
        <w:contextualSpacing/>
        <w:rPr>
          <w:rFonts w:ascii="Verdana" w:hAnsi="Verdana"/>
          <w:sz w:val="24"/>
          <w:szCs w:val="24"/>
          <w:lang w:val="en-GB"/>
        </w:rPr>
      </w:pPr>
      <w:r>
        <w:rPr>
          <w:rFonts w:ascii="Verdana" w:hAnsi="Verdana"/>
          <w:sz w:val="24"/>
          <w:szCs w:val="24"/>
          <w:lang w:val="en-GB"/>
        </w:rPr>
        <w:t>Booking secretary’s report (Sue Dean)</w:t>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t>There are over 20 weekday bookings in a month.</w:t>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t>Frances who had been booking Monday mornings was stopping because of ill health and there were already 2 enquiries to take over that slot.</w:t>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t>We don’t take regular bookings for the weekend to leave the hall free for local people who wish to organise an event. We have an arrangement with a bouncy castle supplier so that people can make an inclusive booking. More weekend bookings are welcome.</w:t>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t>The minimum booking charge is £20 weekdays and £25 weekends which includes use of the kitchen and car park. The ATC booked the hall because it gave them the space they needed for drill practice.</w:t>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r>
    </w:p>
    <w:p>
      <w:pPr>
        <w:pStyle w:val="ListParagraph"/>
        <w:numPr>
          <w:ilvl w:val="0"/>
          <w:numId w:val="1"/>
        </w:numPr>
        <w:tabs>
          <w:tab w:val="clear" w:pos="720"/>
          <w:tab w:val="left" w:pos="360" w:leader="none"/>
        </w:tabs>
        <w:spacing w:before="0" w:after="0"/>
        <w:contextualSpacing/>
        <w:rPr>
          <w:rFonts w:ascii="Verdana" w:hAnsi="Verdana"/>
          <w:sz w:val="24"/>
          <w:szCs w:val="24"/>
          <w:lang w:val="en-GB"/>
        </w:rPr>
      </w:pPr>
      <w:r>
        <w:rPr>
          <w:rFonts w:ascii="Verdana" w:hAnsi="Verdana"/>
          <w:sz w:val="24"/>
          <w:szCs w:val="24"/>
          <w:lang w:val="en-GB"/>
        </w:rPr>
        <w:t>Election of committee</w:t>
      </w:r>
    </w:p>
    <w:p>
      <w:pPr>
        <w:pStyle w:val="ListParagraph"/>
        <w:numPr>
          <w:ilvl w:val="0"/>
          <w:numId w:val="0"/>
        </w:numPr>
        <w:tabs>
          <w:tab w:val="clear" w:pos="720"/>
          <w:tab w:val="left" w:pos="360" w:leader="none"/>
        </w:tabs>
        <w:spacing w:before="0" w:after="0"/>
        <w:ind w:hanging="0" w:left="360"/>
        <w:contextualSpacing/>
        <w:rPr>
          <w:rFonts w:ascii="Verdana" w:hAnsi="Verdana"/>
          <w:sz w:val="24"/>
          <w:szCs w:val="24"/>
          <w:lang w:val="en-GB"/>
        </w:rPr>
      </w:pPr>
      <w:r>
        <w:rPr>
          <w:rFonts w:ascii="Verdana" w:hAnsi="Verdana"/>
          <w:sz w:val="24"/>
          <w:szCs w:val="24"/>
          <w:lang w:val="en-GB"/>
        </w:rPr>
        <w:t>The committee was sad to lose John Smith, one founder member of the hall. Also,Harparkash reported the recent death of Pam Coffen, another founder member.</w:t>
      </w:r>
    </w:p>
    <w:p>
      <w:pPr>
        <w:pStyle w:val="ListParagraph"/>
        <w:tabs>
          <w:tab w:val="clear" w:pos="720"/>
          <w:tab w:val="left" w:pos="360" w:leader="none"/>
        </w:tabs>
        <w:spacing w:before="0" w:after="0"/>
        <w:ind w:left="360"/>
        <w:contextualSpacing/>
        <w:rPr>
          <w:rFonts w:ascii="Verdana" w:hAnsi="Verdana"/>
          <w:sz w:val="24"/>
          <w:szCs w:val="24"/>
          <w:lang w:val="en-GB"/>
        </w:rPr>
      </w:pPr>
      <w:r>
        <w:rPr>
          <w:rFonts w:ascii="Verdana" w:hAnsi="Verdana"/>
          <w:sz w:val="24"/>
          <w:szCs w:val="24"/>
          <w:lang w:val="en-GB"/>
        </w:rPr>
        <w:t>Officers</w:t>
      </w:r>
    </w:p>
    <w:p>
      <w:pPr>
        <w:pStyle w:val="Header"/>
        <w:numPr>
          <w:ilvl w:val="1"/>
          <w:numId w:val="2"/>
        </w:numPr>
        <w:tabs>
          <w:tab w:val="left" w:pos="1260" w:leader="none"/>
        </w:tabs>
        <w:rPr>
          <w:rFonts w:ascii="Verdana" w:hAnsi="Verdana" w:cs="Arial"/>
          <w:sz w:val="24"/>
          <w:szCs w:val="24"/>
        </w:rPr>
      </w:pPr>
      <w:r>
        <w:rPr>
          <w:rFonts w:cs="Arial" w:ascii="Verdana" w:hAnsi="Verdana"/>
          <w:sz w:val="24"/>
          <w:szCs w:val="24"/>
        </w:rPr>
        <w:t>Chair, currently Marian Cotton</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Marian is willing to stand</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proposed Helen, seconded Janice, elected</w:t>
      </w:r>
    </w:p>
    <w:p>
      <w:pPr>
        <w:pStyle w:val="Header"/>
        <w:numPr>
          <w:ilvl w:val="1"/>
          <w:numId w:val="2"/>
        </w:numPr>
        <w:tabs>
          <w:tab w:val="left" w:pos="1260" w:leader="none"/>
        </w:tabs>
        <w:rPr>
          <w:rFonts w:ascii="Verdana" w:hAnsi="Verdana" w:cs="Arial"/>
          <w:sz w:val="24"/>
          <w:szCs w:val="24"/>
        </w:rPr>
      </w:pPr>
      <w:r>
        <w:rPr>
          <w:rFonts w:cs="Arial" w:ascii="Verdana" w:hAnsi="Verdana"/>
          <w:sz w:val="24"/>
          <w:szCs w:val="24"/>
        </w:rPr>
        <w:t>Deputy Chair, currently vacant</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no nominations, remains vacant</w:t>
      </w:r>
    </w:p>
    <w:p>
      <w:pPr>
        <w:pStyle w:val="Header"/>
        <w:numPr>
          <w:ilvl w:val="1"/>
          <w:numId w:val="2"/>
        </w:numPr>
        <w:tabs>
          <w:tab w:val="left" w:pos="1260" w:leader="none"/>
        </w:tabs>
        <w:rPr>
          <w:rFonts w:ascii="Verdana" w:hAnsi="Verdana" w:cs="Arial"/>
          <w:sz w:val="24"/>
          <w:szCs w:val="24"/>
        </w:rPr>
      </w:pPr>
      <w:r>
        <w:rPr>
          <w:rFonts w:cs="Arial" w:ascii="Verdana" w:hAnsi="Verdana"/>
          <w:sz w:val="24"/>
          <w:szCs w:val="24"/>
        </w:rPr>
        <w:t>Treasurer, currently Helen Geach</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Helen is resigning due to ill health from 13</w:t>
      </w:r>
      <w:r>
        <w:rPr>
          <w:rFonts w:cs="Arial" w:ascii="Verdana" w:hAnsi="Verdana"/>
          <w:sz w:val="24"/>
          <w:szCs w:val="24"/>
          <w:vertAlign w:val="superscript"/>
        </w:rPr>
        <w:t>th</w:t>
      </w:r>
      <w:r>
        <w:rPr>
          <w:rFonts w:cs="Arial" w:ascii="Verdana" w:hAnsi="Verdana"/>
          <w:sz w:val="24"/>
          <w:szCs w:val="24"/>
        </w:rPr>
        <w:t xml:space="preserve"> September</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no nominations</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Julie and Marian to handle Treasurer’s duties in interim</w:t>
      </w:r>
    </w:p>
    <w:p>
      <w:pPr>
        <w:pStyle w:val="Header"/>
        <w:numPr>
          <w:ilvl w:val="1"/>
          <w:numId w:val="2"/>
        </w:numPr>
        <w:tabs>
          <w:tab w:val="left" w:pos="1260" w:leader="none"/>
        </w:tabs>
        <w:rPr>
          <w:rFonts w:ascii="Verdana" w:hAnsi="Verdana" w:cs="Arial"/>
          <w:sz w:val="24"/>
          <w:szCs w:val="24"/>
        </w:rPr>
      </w:pPr>
      <w:r>
        <w:rPr>
          <w:rFonts w:cs="Arial" w:ascii="Verdana" w:hAnsi="Verdana"/>
          <w:sz w:val="24"/>
          <w:szCs w:val="24"/>
        </w:rPr>
        <w:t>Booking Secretary</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Helen resigned as Booking Secretary during the year (27.01.25) and Sue Dean took over</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Sue Dean is willing to stand</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proposed Julie, seconded Marian, elected</w:t>
      </w:r>
    </w:p>
    <w:p>
      <w:pPr>
        <w:pStyle w:val="Header"/>
        <w:widowControl/>
        <w:numPr>
          <w:ilvl w:val="1"/>
          <w:numId w:val="2"/>
        </w:numPr>
        <w:tabs>
          <w:tab w:val="left" w:pos="1260" w:leader="none"/>
          <w:tab w:val="left" w:pos="1468" w:leader="none"/>
        </w:tabs>
        <w:suppressAutoHyphens w:val="true"/>
        <w:bidi w:val="0"/>
        <w:spacing w:lineRule="auto" w:line="240" w:before="0" w:after="0"/>
        <w:ind w:hanging="340" w:left="1417" w:right="0"/>
        <w:jc w:val="left"/>
        <w:rPr>
          <w:rFonts w:ascii="Verdana" w:hAnsi="Verdana" w:cs="Arial"/>
          <w:sz w:val="28"/>
          <w:szCs w:val="28"/>
        </w:rPr>
      </w:pPr>
      <w:r>
        <w:rPr>
          <w:rFonts w:cs="Arial" w:ascii="Verdana" w:hAnsi="Verdana"/>
          <w:sz w:val="24"/>
          <w:szCs w:val="24"/>
        </w:rPr>
        <w:t>Secretary, currently Julie Bradshaw</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Julie is willing to stand</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proposed Marian, seconded Sue Dean, elected</w:t>
      </w:r>
    </w:p>
    <w:p>
      <w:pPr>
        <w:pStyle w:val="Header"/>
        <w:numPr>
          <w:ilvl w:val="1"/>
          <w:numId w:val="2"/>
        </w:numPr>
        <w:tabs>
          <w:tab w:val="left" w:pos="1260" w:leader="none"/>
        </w:tabs>
        <w:rPr>
          <w:rFonts w:ascii="Verdana" w:hAnsi="Verdana" w:cs="Arial"/>
          <w:sz w:val="24"/>
          <w:szCs w:val="24"/>
        </w:rPr>
      </w:pPr>
      <w:r>
        <w:rPr>
          <w:rFonts w:cs="Arial" w:ascii="Verdana" w:hAnsi="Verdana"/>
          <w:sz w:val="24"/>
          <w:szCs w:val="24"/>
        </w:rPr>
        <w:t xml:space="preserve">  </w:t>
      </w:r>
      <w:r>
        <w:rPr>
          <w:rFonts w:cs="Arial" w:ascii="Verdana" w:hAnsi="Verdana"/>
          <w:sz w:val="24"/>
          <w:szCs w:val="24"/>
        </w:rPr>
        <w:t>Committee members in addition to those above, currently Doreen Cleaton, Angela Jones, Ray Jones, Wareham Disabled Club;</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Sue Reeves, Wareham Short Mat Bowls</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no other nominations</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proposed Marian, seconded Helen, elected</w:t>
      </w:r>
    </w:p>
    <w:p>
      <w:pPr>
        <w:pStyle w:val="Header"/>
        <w:numPr>
          <w:ilvl w:val="1"/>
          <w:numId w:val="2"/>
        </w:numPr>
        <w:tabs>
          <w:tab w:val="left" w:pos="1260" w:leader="none"/>
        </w:tabs>
        <w:rPr>
          <w:rFonts w:ascii="Verdana" w:hAnsi="Verdana" w:cs="Arial"/>
          <w:sz w:val="24"/>
          <w:szCs w:val="24"/>
        </w:rPr>
      </w:pPr>
      <w:r>
        <w:rPr>
          <w:rFonts w:cs="Arial" w:ascii="Verdana" w:hAnsi="Verdana"/>
          <w:sz w:val="24"/>
          <w:szCs w:val="24"/>
        </w:rPr>
        <w:t>Trustees, currently Helen, Marian, Julie</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Helen is resigning from 13.09.25</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Trustees nominated: Marian, Julie, Sue Reeves</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t>Proposed Marian, seconded Helen, elected</w:t>
      </w:r>
    </w:p>
    <w:p>
      <w:pPr>
        <w:pStyle w:val="Header"/>
        <w:numPr>
          <w:ilvl w:val="0"/>
          <w:numId w:val="0"/>
        </w:numPr>
        <w:tabs>
          <w:tab w:val="left" w:pos="1260" w:leader="none"/>
        </w:tabs>
        <w:ind w:hanging="0" w:left="1440"/>
        <w:rPr>
          <w:rFonts w:ascii="Verdana" w:hAnsi="Verdana" w:cs="Arial"/>
          <w:sz w:val="24"/>
          <w:szCs w:val="24"/>
        </w:rPr>
      </w:pPr>
      <w:r>
        <w:rPr>
          <w:rFonts w:cs="Arial" w:ascii="Verdana" w:hAnsi="Verdana"/>
          <w:sz w:val="24"/>
          <w:szCs w:val="24"/>
        </w:rPr>
      </w:r>
    </w:p>
    <w:p>
      <w:pPr>
        <w:pStyle w:val="Header"/>
        <w:tabs>
          <w:tab w:val="left" w:pos="1260" w:leader="none"/>
        </w:tabs>
        <w:rPr>
          <w:rFonts w:ascii="Verdana" w:hAnsi="Verdana" w:cs="Arial"/>
          <w:sz w:val="28"/>
          <w:szCs w:val="28"/>
        </w:rPr>
      </w:pPr>
      <w:r>
        <w:rPr>
          <w:rFonts w:cs="Arial" w:ascii="Verdana" w:hAnsi="Verdana"/>
          <w:sz w:val="24"/>
          <w:szCs w:val="24"/>
          <w:lang w:val="en-GB"/>
        </w:rPr>
        <w:t xml:space="preserve"> </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9.</w:t>
        <w:tab/>
        <w:t>Priorities for the year 2025/26</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9.1</w:t>
        <w:tab/>
        <w:t>Managing the handover from Helen</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34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ab/>
        <w:tab/>
        <w:tab/>
        <w:t>An accountant will be involved in the book keeping</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9.2</w:t>
        <w:tab/>
        <w:t>Recruiting at least one more Trustee</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All those present asked to consider if they knew of anyone suitable and willing</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9.3</w:t>
        <w:tab/>
        <w:t>Building the committee</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As 9.2</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9.4</w:t>
        <w:tab/>
        <w:t>Solar panels</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The solar panels are on the roof.</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We had noted from meter readings how much electricity was used and from bookings at what time of day (using June 2025 for the sample), given the information to the solar panel companies and obtained 3 quotes.</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We had used H2Eco because the prices were similar and H2Eco, having installed the air-to-air heating, was familiar with the electrical installation. We will be monitoring the use of electricity and the input of the solar panels over the seasons to assess the value of having a battery added to the system. It is noted that on a very hot day less electricity is generated by the solar panels than on a less hot, bright day.</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9.5</w:t>
        <w:tab/>
        <w:t>Fundraising</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In 2024/25 Marian organised vinyl nights to raise money for the Mayor’s charity, the Air Training Cadets. Keith provides the music, 60’s, 70’s and 80’s records, someone else provides the disco lights, entry is £5 and people bring their own food and drink. There is a raffle. This year Marian will organise 4 vinyl nights, 3 to raise money for the hall and one for charity.</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We have been disappointed by the response to table top sales. We would benefit from an extra person on the committee to take on the responsibility of publicity.</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We run 2 community parties a year, not to raise funds but they should build the profile of the hall. For the first time we will have a Christmas party which will be on Sunday 7</w:t>
      </w:r>
      <w:r>
        <w:rPr>
          <w:rFonts w:ascii="Verdana" w:hAnsi="Verdana"/>
          <w:bCs/>
          <w:color w:val="444444"/>
          <w:sz w:val="24"/>
          <w:szCs w:val="24"/>
          <w:shd w:fill="FFFFFF" w:val="clear"/>
          <w:vertAlign w:val="superscript"/>
          <w:lang w:val="en-GB"/>
        </w:rPr>
        <w:t>th</w:t>
      </w:r>
      <w:r>
        <w:rPr>
          <w:rFonts w:ascii="Verdana" w:hAnsi="Verdana"/>
          <w:bCs/>
          <w:color w:val="444444"/>
          <w:sz w:val="24"/>
          <w:szCs w:val="24"/>
          <w:shd w:fill="FFFFFF" w:val="clear"/>
          <w:lang w:val="en-GB"/>
        </w:rPr>
        <w:t xml:space="preserve"> December. Entry is free, there is entertainment and people bring their own refreshment.</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Helen reported that the Carey Crafters sales also had poor attendance.</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It was suggested that we ask at the station whether we could display a poster and flyers in the booking office.</w:t>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We welcome new and innovative ideas for fundraising (or old ones, if they work).</w:t>
      </w:r>
    </w:p>
    <w:p>
      <w:pPr>
        <w:pStyle w:val="ListParagraph"/>
        <w:widowControl/>
        <w:tabs>
          <w:tab w:val="clear" w:pos="720"/>
          <w:tab w:val="left" w:pos="56" w:leader="none"/>
          <w:tab w:val="left" w:pos="360" w:leader="none"/>
        </w:tabs>
        <w:suppressAutoHyphens w:val="true"/>
        <w:bidi w:val="0"/>
        <w:spacing w:lineRule="auto" w:line="276" w:before="0" w:after="0"/>
        <w:ind w:hanging="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r>
    </w:p>
    <w:p>
      <w:pPr>
        <w:pStyle w:val="ListParagraph"/>
        <w:widowControl/>
        <w:tabs>
          <w:tab w:val="clear" w:pos="720"/>
          <w:tab w:val="left" w:pos="56" w:leader="none"/>
          <w:tab w:val="left" w:pos="360" w:leader="none"/>
        </w:tabs>
        <w:suppressAutoHyphens w:val="true"/>
        <w:bidi w:val="0"/>
        <w:spacing w:lineRule="auto" w:line="276" w:before="0" w:after="0"/>
        <w:ind w:hanging="68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10.</w:t>
        <w:tab/>
        <w:t>Any other business</w:t>
      </w:r>
    </w:p>
    <w:p>
      <w:pPr>
        <w:pStyle w:val="ListParagraph"/>
        <w:widowControl/>
        <w:tabs>
          <w:tab w:val="clear" w:pos="720"/>
          <w:tab w:val="left" w:pos="56" w:leader="none"/>
          <w:tab w:val="left" w:pos="360" w:leader="none"/>
        </w:tabs>
        <w:suppressAutoHyphens w:val="true"/>
        <w:bidi w:val="0"/>
        <w:spacing w:lineRule="auto" w:line="276" w:before="0" w:after="0"/>
        <w:ind w:hanging="68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ab/>
        <w:tab/>
        <w:tab/>
        <w:t>The committee was thanked.</w:t>
      </w:r>
    </w:p>
    <w:p>
      <w:pPr>
        <w:pStyle w:val="ListParagraph"/>
        <w:widowControl/>
        <w:tabs>
          <w:tab w:val="clear" w:pos="720"/>
          <w:tab w:val="left" w:pos="56" w:leader="none"/>
          <w:tab w:val="left" w:pos="360" w:leader="none"/>
        </w:tabs>
        <w:suppressAutoHyphens w:val="true"/>
        <w:bidi w:val="0"/>
        <w:spacing w:lineRule="auto" w:line="276" w:before="0" w:after="0"/>
        <w:ind w:hanging="68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ab/>
        <w:tab/>
        <w:tab/>
        <w:t>The garden at the front is a great improvement.</w:t>
      </w:r>
    </w:p>
    <w:p>
      <w:pPr>
        <w:pStyle w:val="ListParagraph"/>
        <w:widowControl/>
        <w:tabs>
          <w:tab w:val="clear" w:pos="720"/>
          <w:tab w:val="left" w:pos="56" w:leader="none"/>
          <w:tab w:val="left" w:pos="360" w:leader="none"/>
        </w:tabs>
        <w:suppressAutoHyphens w:val="true"/>
        <w:bidi w:val="0"/>
        <w:spacing w:lineRule="auto" w:line="276" w:before="0" w:after="0"/>
        <w:ind w:hanging="68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ab/>
        <w:tab/>
        <w:tab/>
        <w:t>Frances ran a group at the hall some years ago and now finds the hall is much better.</w:t>
      </w:r>
    </w:p>
    <w:p>
      <w:pPr>
        <w:pStyle w:val="ListParagraph"/>
        <w:widowControl/>
        <w:tabs>
          <w:tab w:val="clear" w:pos="720"/>
          <w:tab w:val="left" w:pos="56" w:leader="none"/>
          <w:tab w:val="left" w:pos="360" w:leader="none"/>
        </w:tabs>
        <w:suppressAutoHyphens w:val="true"/>
        <w:bidi w:val="0"/>
        <w:spacing w:lineRule="auto" w:line="276" w:before="0" w:after="0"/>
        <w:ind w:hanging="680" w:left="68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t>11.</w:t>
        <w:tab/>
        <w:t>The date of the 2026 AGM will be decided at a committee meeting in 2026. The meeting closed at 8pm.</w:t>
      </w:r>
    </w:p>
    <w:p>
      <w:pPr>
        <w:pStyle w:val="ListParagraph"/>
        <w:widowControl/>
        <w:numPr>
          <w:ilvl w:val="0"/>
          <w:numId w:val="0"/>
        </w:numPr>
        <w:tabs>
          <w:tab w:val="clear" w:pos="720"/>
          <w:tab w:val="left" w:pos="678" w:leader="none"/>
          <w:tab w:val="left" w:pos="734" w:leader="none"/>
        </w:tabs>
        <w:suppressAutoHyphens w:val="true"/>
        <w:bidi w:val="0"/>
        <w:spacing w:lineRule="auto" w:line="276" w:before="0" w:after="0"/>
        <w:ind w:hanging="0" w:left="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r>
    </w:p>
    <w:p>
      <w:pPr>
        <w:pStyle w:val="ListParagraph"/>
        <w:widowControl/>
        <w:numPr>
          <w:ilvl w:val="0"/>
          <w:numId w:val="0"/>
        </w:numPr>
        <w:tabs>
          <w:tab w:val="clear" w:pos="720"/>
          <w:tab w:val="left" w:pos="56" w:leader="none"/>
          <w:tab w:val="left" w:pos="360" w:leader="none"/>
        </w:tabs>
        <w:suppressAutoHyphens w:val="true"/>
        <w:bidi w:val="0"/>
        <w:spacing w:lineRule="auto" w:line="276" w:before="0" w:after="0"/>
        <w:ind w:hanging="0" w:left="0" w:right="0"/>
        <w:contextualSpacing/>
        <w:jc w:val="left"/>
        <w:rPr>
          <w:rFonts w:ascii="Verdana" w:hAnsi="Verdana"/>
          <w:bCs/>
          <w:color w:val="444444"/>
          <w:sz w:val="24"/>
          <w:szCs w:val="24"/>
          <w:shd w:fill="FFFFFF" w:val="clear"/>
          <w:lang w:val="en-GB"/>
        </w:rPr>
      </w:pPr>
      <w:r>
        <w:rPr>
          <w:rFonts w:ascii="Verdana" w:hAnsi="Verdana"/>
          <w:bCs/>
          <w:color w:val="444444"/>
          <w:sz w:val="24"/>
          <w:szCs w:val="24"/>
          <w:shd w:fill="FFFFFF" w:val="clear"/>
          <w:lang w:val="en-GB"/>
        </w:rPr>
      </w:r>
    </w:p>
    <w:p>
      <w:pPr>
        <w:pStyle w:val="Normal"/>
        <w:tabs>
          <w:tab w:val="left" w:pos="360" w:leader="none"/>
          <w:tab w:val="left" w:pos="720" w:leader="none"/>
        </w:tabs>
        <w:spacing w:before="0" w:after="0"/>
        <w:rPr>
          <w:rFonts w:ascii="Verdana" w:hAnsi="Verdana"/>
          <w:bCs/>
          <w:color w:val="444444"/>
          <w:sz w:val="24"/>
          <w:szCs w:val="24"/>
          <w:shd w:fill="FFFFFF" w:val="clear"/>
        </w:rPr>
      </w:pPr>
      <w:r>
        <w:rPr>
          <w:rFonts w:ascii="Verdana" w:hAnsi="Verdana"/>
          <w:bCs/>
          <w:color w:val="444444"/>
          <w:sz w:val="24"/>
          <w:szCs w:val="24"/>
          <w:shd w:fill="FFFFFF" w:val="clear"/>
        </w:rPr>
      </w:r>
      <w:r>
        <w:br w:type="page"/>
      </w:r>
    </w:p>
    <w:p>
      <w:pPr>
        <w:pStyle w:val="Normal"/>
        <w:tabs>
          <w:tab w:val="left" w:pos="360" w:leader="none"/>
          <w:tab w:val="left" w:pos="720" w:leader="none"/>
        </w:tabs>
        <w:spacing w:before="0" w:after="0"/>
        <w:rPr>
          <w:rFonts w:ascii="Verdana" w:hAnsi="Verdana"/>
          <w:bCs/>
          <w:color w:val="444444"/>
          <w:sz w:val="24"/>
          <w:szCs w:val="24"/>
          <w:shd w:fill="FFFFFF" w:val="clear"/>
        </w:rPr>
      </w:pPr>
      <w:r>
        <w:rPr>
          <w:rFonts w:ascii="Verdana" w:hAnsi="Verdana"/>
          <w:bCs/>
          <w:color w:val="444444"/>
          <w:sz w:val="24"/>
          <w:szCs w:val="24"/>
          <w:shd w:fill="FFFFFF" w:val="clear"/>
        </w:rPr>
      </w:r>
    </w:p>
    <w:p>
      <w:pPr>
        <w:pStyle w:val="Normal"/>
        <w:tabs>
          <w:tab w:val="left" w:pos="360" w:leader="none"/>
          <w:tab w:val="left" w:pos="720" w:leader="none"/>
        </w:tabs>
        <w:spacing w:before="0" w:after="0"/>
        <w:rPr>
          <w:rFonts w:ascii="Verdana" w:hAnsi="Verdana"/>
          <w:bCs/>
          <w:color w:val="444444"/>
          <w:sz w:val="24"/>
          <w:szCs w:val="24"/>
          <w:shd w:fill="FFFFFF" w:val="clear"/>
        </w:rPr>
      </w:pPr>
      <w:r>
        <w:rPr>
          <w:rFonts w:ascii="Verdana" w:hAnsi="Verdana"/>
          <w:bCs/>
          <w:color w:val="444444"/>
          <w:sz w:val="24"/>
          <w:szCs w:val="24"/>
          <w:shd w:fill="FFFFFF" w:val="clear"/>
        </w:rPr>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6645910" cy="939927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6645910" cy="9399270"/>
                    </a:xfrm>
                    <a:prstGeom prst="rect">
                      <a:avLst/>
                    </a:prstGeom>
                    <a:noFill/>
                  </pic:spPr>
                </pic:pic>
              </a:graphicData>
            </a:graphic>
          </wp:anchor>
        </w:drawing>
      </w:r>
      <w:r>
        <w:br w:type="page"/>
      </w:r>
    </w:p>
    <w:p>
      <w:pPr>
        <w:pStyle w:val="Normal"/>
        <w:tabs>
          <w:tab w:val="left" w:pos="360" w:leader="none"/>
          <w:tab w:val="left" w:pos="720" w:leader="none"/>
        </w:tabs>
        <w:spacing w:before="0" w:after="0"/>
        <w:rPr>
          <w:rFonts w:ascii="Verdana" w:hAnsi="Verdana"/>
          <w:bCs/>
          <w:color w:val="444444"/>
          <w:sz w:val="24"/>
          <w:szCs w:val="24"/>
          <w:shd w:fill="FFFFFF" w:val="clear"/>
        </w:rPr>
      </w:pPr>
      <w:r>
        <w:rPr>
          <w:rFonts w:ascii="Verdana" w:hAnsi="Verdana"/>
          <w:bCs/>
          <w:color w:val="444444"/>
          <w:sz w:val="24"/>
          <w:szCs w:val="24"/>
          <w:shd w:fill="FFFFFF" w:val="clear"/>
        </w:rPr>
        <w:drawing>
          <wp:anchor distT="0" distB="0" distL="0" distR="0" simplePos="0" relativeHeight="4" behindDoc="0" locked="0" layoutInCell="0" allowOverlap="1">
            <wp:simplePos x="0" y="0"/>
            <wp:positionH relativeFrom="column">
              <wp:posOffset>80645</wp:posOffset>
            </wp:positionH>
            <wp:positionV relativeFrom="paragraph">
              <wp:posOffset>11430</wp:posOffset>
            </wp:positionV>
            <wp:extent cx="6645910" cy="939927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4"/>
                    <a:stretch>
                      <a:fillRect/>
                    </a:stretch>
                  </pic:blipFill>
                  <pic:spPr bwMode="auto">
                    <a:xfrm>
                      <a:off x="0" y="0"/>
                      <a:ext cx="6645910" cy="9399270"/>
                    </a:xfrm>
                    <a:prstGeom prst="rect">
                      <a:avLst/>
                    </a:prstGeom>
                    <a:noFill/>
                  </pic:spPr>
                </pic:pic>
              </a:graphicData>
            </a:graphic>
          </wp:anchor>
        </w:drawing>
      </w:r>
    </w:p>
    <w:p>
      <w:pPr>
        <w:pStyle w:val="Normal"/>
        <w:spacing w:lineRule="auto" w:line="240" w:before="0" w:after="0"/>
        <w:rPr>
          <w:rFonts w:ascii="Arial" w:hAnsi="Arial" w:cs="Arial"/>
          <w:b/>
          <w:sz w:val="28"/>
          <w:szCs w:val="28"/>
        </w:rPr>
      </w:pPr>
      <w:r>
        <w:rPr>
          <w:rFonts w:cs="Arial" w:ascii="Arial" w:hAnsi="Arial"/>
          <w:b/>
          <w:sz w:val="28"/>
          <w:szCs w:val="28"/>
        </w:rPr>
      </w:r>
    </w:p>
    <w:p>
      <w:pPr>
        <w:pStyle w:val="Normal"/>
        <w:spacing w:lineRule="auto" w:line="240" w:before="0" w:after="0"/>
        <w:jc w:val="right"/>
        <w:rPr>
          <w:rFonts w:ascii="Arial" w:hAnsi="Arial" w:cs="Arial"/>
          <w:b/>
          <w:sz w:val="28"/>
          <w:szCs w:val="28"/>
        </w:rPr>
      </w:pPr>
      <w:r>
        <w:rPr/>
        <w:drawing>
          <wp:inline distT="0" distB="0" distL="0" distR="0">
            <wp:extent cx="2552700" cy="6286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5"/>
                    <a:stretch>
                      <a:fillRect/>
                    </a:stretch>
                  </pic:blipFill>
                  <pic:spPr bwMode="auto">
                    <a:xfrm>
                      <a:off x="0" y="0"/>
                      <a:ext cx="2552700" cy="628650"/>
                    </a:xfrm>
                    <a:prstGeom prst="rect">
                      <a:avLst/>
                    </a:prstGeom>
                    <a:noFill/>
                  </pic:spPr>
                </pic:pic>
              </a:graphicData>
            </a:graphic>
          </wp:inline>
        </w:drawing>
      </w:r>
    </w:p>
    <w:p>
      <w:pPr>
        <w:pStyle w:val="Normal"/>
        <w:spacing w:lineRule="auto" w:line="240" w:before="0" w:after="0"/>
        <w:rPr>
          <w:rFonts w:ascii="Arial" w:hAnsi="Arial" w:cs="Arial"/>
          <w:b/>
          <w:sz w:val="28"/>
          <w:szCs w:val="28"/>
        </w:rPr>
      </w:pPr>
      <w:r>
        <w:rPr>
          <w:rFonts w:cs="Arial" w:ascii="Arial" w:hAnsi="Arial"/>
          <w:b/>
          <w:sz w:val="28"/>
          <w:szCs w:val="28"/>
        </w:rPr>
      </w:r>
    </w:p>
    <w:p>
      <w:pPr>
        <w:pStyle w:val="Normal"/>
        <w:spacing w:lineRule="auto" w:line="240" w:before="0" w:after="0"/>
        <w:rPr>
          <w:rFonts w:ascii="Arial" w:hAnsi="Arial" w:cs="Arial"/>
          <w:b/>
          <w:sz w:val="28"/>
          <w:szCs w:val="28"/>
        </w:rPr>
      </w:pPr>
      <w:r>
        <w:rPr>
          <w:rFonts w:cs="Arial" w:ascii="Arial" w:hAnsi="Arial"/>
          <w:b/>
          <w:sz w:val="28"/>
          <w:szCs w:val="28"/>
        </w:rPr>
        <w:t>Trustees’ Annual Report for the period</w:t>
      </w:r>
    </w:p>
    <w:p>
      <w:pPr>
        <w:pStyle w:val="Normal"/>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t xml:space="preserve">From </w:t>
        <w:tab/>
        <w:tab/>
        <w:t>1</w:t>
      </w:r>
      <w:r>
        <w:rPr>
          <w:rFonts w:cs="Arial" w:ascii="Arial" w:hAnsi="Arial"/>
          <w:b/>
          <w:sz w:val="24"/>
          <w:szCs w:val="24"/>
          <w:vertAlign w:val="superscript"/>
        </w:rPr>
        <w:t>st</w:t>
      </w:r>
      <w:r>
        <w:rPr>
          <w:rFonts w:cs="Arial" w:ascii="Arial" w:hAnsi="Arial"/>
          <w:b/>
          <w:sz w:val="24"/>
          <w:szCs w:val="24"/>
        </w:rPr>
        <w:t xml:space="preserve"> July 2025   To</w:t>
        <w:tab/>
        <w:t>30</w:t>
      </w:r>
      <w:r>
        <w:rPr>
          <w:rFonts w:cs="Arial" w:ascii="Arial" w:hAnsi="Arial"/>
          <w:b/>
          <w:sz w:val="24"/>
          <w:szCs w:val="24"/>
          <w:vertAlign w:val="superscript"/>
        </w:rPr>
        <w:t>th</w:t>
      </w:r>
      <w:r>
        <w:rPr>
          <w:rFonts w:cs="Arial" w:ascii="Arial" w:hAnsi="Arial"/>
          <w:b/>
          <w:sz w:val="24"/>
          <w:szCs w:val="24"/>
        </w:rPr>
        <w:t xml:space="preserve"> June </w:t>
      </w:r>
      <w:bookmarkStart w:id="0" w:name="_GoBack"/>
      <w:bookmarkEnd w:id="0"/>
      <w:r>
        <w:rPr>
          <w:rFonts w:cs="Arial" w:ascii="Arial" w:hAnsi="Arial"/>
          <w:b/>
          <w:sz w:val="24"/>
          <w:szCs w:val="24"/>
        </w:rPr>
        <w:t>2026</w:t>
      </w:r>
    </w:p>
    <w:p>
      <w:pPr>
        <w:pStyle w:val="Normal"/>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t>Charity name:</w:t>
        <w:tab/>
        <w:t>Carey Hut Charitable Trust</w:t>
      </w:r>
    </w:p>
    <w:p>
      <w:pPr>
        <w:pStyle w:val="Normal"/>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t>Charity registration number:</w:t>
        <w:tab/>
        <w:t>1000278</w:t>
      </w:r>
    </w:p>
    <w:p>
      <w:pPr>
        <w:pStyle w:val="Normal"/>
        <w:spacing w:lineRule="auto" w:line="240" w:before="0" w:after="0"/>
        <w:rPr>
          <w:rFonts w:ascii="Arial" w:hAnsi="Arial" w:cs="Arial"/>
          <w:b/>
          <w:sz w:val="28"/>
          <w:szCs w:val="28"/>
        </w:rPr>
      </w:pPr>
      <w:r>
        <w:rPr>
          <w:rFonts w:cs="Arial" w:ascii="Arial" w:hAnsi="Arial"/>
          <w:b/>
          <w:sz w:val="28"/>
          <w:szCs w:val="28"/>
        </w:rPr>
      </w:r>
    </w:p>
    <w:p>
      <w:pPr>
        <w:pStyle w:val="Normal"/>
        <w:spacing w:lineRule="auto" w:line="240" w:before="0" w:after="0"/>
        <w:rPr>
          <w:rFonts w:ascii="Arial" w:hAnsi="Arial" w:cs="Arial"/>
          <w:b/>
          <w:sz w:val="28"/>
          <w:szCs w:val="28"/>
        </w:rPr>
      </w:pPr>
      <w:r>
        <w:rPr>
          <w:rFonts w:cs="Arial" w:ascii="Arial" w:hAnsi="Arial"/>
          <w:b/>
          <w:sz w:val="28"/>
          <w:szCs w:val="28"/>
        </w:rPr>
        <w:t>Objectives and Activities</w:t>
      </w:r>
    </w:p>
    <w:p>
      <w:pPr>
        <w:pStyle w:val="Normal"/>
        <w:spacing w:lineRule="auto" w:line="240" w:before="0" w:after="0"/>
        <w:rPr>
          <w:rFonts w:ascii="Arial" w:hAnsi="Arial" w:cs="Arial"/>
          <w:b/>
        </w:rPr>
      </w:pPr>
      <w:r>
        <w:rPr>
          <w:rFonts w:cs="Arial" w:ascii="Arial" w:hAnsi="Arial"/>
          <w:b/>
        </w:rPr>
      </w:r>
    </w:p>
    <w:tbl>
      <w:tblPr>
        <w:tblStyle w:val="TableGrid"/>
        <w:tblW w:w="9242" w:type="dxa"/>
        <w:jc w:val="left"/>
        <w:tblInd w:w="113" w:type="dxa"/>
        <w:tblLayout w:type="fixed"/>
        <w:tblCellMar>
          <w:top w:w="0" w:type="dxa"/>
          <w:left w:w="108" w:type="dxa"/>
          <w:bottom w:w="0" w:type="dxa"/>
          <w:right w:w="108" w:type="dxa"/>
        </w:tblCellMar>
        <w:tblLook w:val="04a0"/>
      </w:tblPr>
      <w:tblGrid>
        <w:gridCol w:w="9242"/>
      </w:tblGrid>
      <w:tr>
        <w:trPr>
          <w:trHeight w:val="1774" w:hRule="atLeast"/>
        </w:trPr>
        <w:tc>
          <w:tcPr>
            <w:tcW w:w="9242" w:type="dxa"/>
            <w:tcBorders/>
          </w:tcPr>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Carey Hall is held upon trust by the charity for the purposes of a village hall for the use of the inhabitants of the Parish of Wareham Lady St Mary, Dorset, without distinction of political, religious or other opinions including use for meetings, lectures and classes and for other forms of recreation and leisure time occupation with the object of improving the conditions of life for the said inhabitants.</w:t>
            </w:r>
          </w:p>
        </w:tc>
      </w:tr>
      <w:tr>
        <w:trPr/>
        <w:tc>
          <w:tcPr>
            <w:tcW w:w="9242"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w:t>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Carey Hall is hired out on a regular basis to the following groups:</w:t>
            </w:r>
          </w:p>
          <w:p>
            <w:pPr>
              <w:pStyle w:val="Normal"/>
              <w:widowControl/>
              <w:numPr>
                <w:ilvl w:val="0"/>
                <w:numId w:val="1"/>
              </w:numPr>
              <w:suppressAutoHyphens w:val="true"/>
              <w:spacing w:lineRule="auto" w:line="240" w:before="0" w:after="0"/>
              <w:jc w:val="left"/>
              <w:rPr>
                <w:rFonts w:ascii="Arial" w:hAnsi="Arial" w:cs="Arial"/>
                <w:b/>
                <w:bCs/>
                <w:lang w:val="en-US"/>
              </w:rPr>
            </w:pPr>
            <w:r>
              <w:rPr>
                <w:rFonts w:eastAsia="Calibri" w:cs="Arial" w:ascii="Arial" w:hAnsi="Arial"/>
                <w:b/>
                <w:kern w:val="0"/>
                <w:sz w:val="22"/>
                <w:szCs w:val="22"/>
                <w:lang w:val="en-US" w:eastAsia="en-US" w:bidi="ar-SA"/>
              </w:rPr>
              <w:t>Short mat bowls</w:t>
            </w:r>
          </w:p>
          <w:p>
            <w:pPr>
              <w:pStyle w:val="Normal"/>
              <w:widowControl/>
              <w:numPr>
                <w:ilvl w:val="0"/>
                <w:numId w:val="1"/>
              </w:numPr>
              <w:suppressAutoHyphens w:val="true"/>
              <w:spacing w:lineRule="auto" w:line="240" w:before="0" w:after="0"/>
              <w:jc w:val="left"/>
              <w:rPr>
                <w:rFonts w:ascii="Arial" w:hAnsi="Arial" w:cs="Arial"/>
                <w:b/>
                <w:bCs/>
                <w:lang w:val="en-US"/>
              </w:rPr>
            </w:pPr>
            <w:r>
              <w:rPr>
                <w:rFonts w:eastAsia="Calibri" w:cs="Arial" w:ascii="Arial" w:hAnsi="Arial"/>
                <w:b/>
                <w:bCs/>
                <w:kern w:val="0"/>
                <w:sz w:val="22"/>
                <w:szCs w:val="22"/>
                <w:lang w:val="en-US" w:eastAsia="en-US" w:bidi="ar-SA"/>
              </w:rPr>
              <w:t>U3A Singing</w:t>
            </w:r>
          </w:p>
          <w:p>
            <w:pPr>
              <w:pStyle w:val="Normal"/>
              <w:widowControl/>
              <w:numPr>
                <w:ilvl w:val="0"/>
                <w:numId w:val="1"/>
              </w:numPr>
              <w:suppressAutoHyphens w:val="true"/>
              <w:spacing w:lineRule="auto" w:line="240" w:before="0" w:after="0"/>
              <w:jc w:val="left"/>
              <w:rPr>
                <w:rFonts w:ascii="Arial" w:hAnsi="Arial" w:cs="Arial"/>
                <w:b/>
                <w:bCs/>
                <w:lang w:val="en-US"/>
              </w:rPr>
            </w:pPr>
            <w:r>
              <w:rPr>
                <w:rFonts w:eastAsia="Calibri" w:cs="Arial" w:ascii="Arial" w:hAnsi="Arial"/>
                <w:b/>
                <w:bCs/>
                <w:kern w:val="0"/>
                <w:sz w:val="22"/>
                <w:szCs w:val="22"/>
                <w:lang w:val="en-US" w:eastAsia="en-US" w:bidi="ar-SA"/>
              </w:rPr>
              <w:t>Wareham Disabled Club</w:t>
            </w:r>
          </w:p>
          <w:p>
            <w:pPr>
              <w:pStyle w:val="Normal"/>
              <w:widowControl/>
              <w:numPr>
                <w:ilvl w:val="0"/>
                <w:numId w:val="1"/>
              </w:numPr>
              <w:suppressAutoHyphens w:val="true"/>
              <w:spacing w:lineRule="auto" w:line="240" w:before="0" w:after="0"/>
              <w:jc w:val="left"/>
              <w:rPr>
                <w:rFonts w:ascii="Arial" w:hAnsi="Arial" w:cs="Arial"/>
                <w:b/>
                <w:bCs/>
                <w:lang w:val="en-US"/>
              </w:rPr>
            </w:pPr>
            <w:r>
              <w:rPr>
                <w:rFonts w:eastAsia="Calibri" w:cs="Arial" w:ascii="Arial" w:hAnsi="Arial"/>
                <w:b/>
                <w:bCs/>
                <w:kern w:val="0"/>
                <w:sz w:val="22"/>
                <w:szCs w:val="22"/>
                <w:lang w:val="en-US" w:eastAsia="en-US" w:bidi="ar-SA"/>
              </w:rPr>
              <w:t>Creative Textiles</w:t>
            </w:r>
          </w:p>
          <w:p>
            <w:pPr>
              <w:pStyle w:val="Normal"/>
              <w:widowControl/>
              <w:numPr>
                <w:ilvl w:val="0"/>
                <w:numId w:val="1"/>
              </w:numPr>
              <w:suppressAutoHyphens w:val="true"/>
              <w:spacing w:lineRule="auto" w:line="240" w:before="0" w:after="0"/>
              <w:jc w:val="left"/>
              <w:rPr>
                <w:rFonts w:ascii="Arial" w:hAnsi="Arial" w:cs="Arial"/>
                <w:b/>
                <w:bCs/>
                <w:lang w:val="en-US"/>
              </w:rPr>
            </w:pPr>
            <w:r>
              <w:rPr>
                <w:rFonts w:eastAsia="Calibri" w:cs="Arial" w:ascii="Arial" w:hAnsi="Arial"/>
                <w:b/>
                <w:bCs/>
                <w:kern w:val="0"/>
                <w:sz w:val="22"/>
                <w:szCs w:val="22"/>
                <w:lang w:val="en-US" w:eastAsia="en-US" w:bidi="ar-SA"/>
              </w:rPr>
              <w:t>Sandford and Wareham WI</w:t>
            </w:r>
          </w:p>
          <w:p>
            <w:pPr>
              <w:pStyle w:val="Normal"/>
              <w:widowControl/>
              <w:numPr>
                <w:ilvl w:val="0"/>
                <w:numId w:val="2"/>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Carey Crafters</w:t>
            </w:r>
          </w:p>
          <w:p>
            <w:pPr>
              <w:pStyle w:val="Normal"/>
              <w:widowControl/>
              <w:numPr>
                <w:ilvl w:val="0"/>
                <w:numId w:val="2"/>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Purbeck Association National Trust</w:t>
            </w:r>
          </w:p>
          <w:p>
            <w:pPr>
              <w:pStyle w:val="Normal"/>
              <w:widowControl/>
              <w:numPr>
                <w:ilvl w:val="0"/>
                <w:numId w:val="2"/>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Wareham Visually Impaired and Blind Club</w:t>
            </w:r>
          </w:p>
          <w:p>
            <w:pPr>
              <w:pStyle w:val="Normal"/>
              <w:widowControl/>
              <w:numPr>
                <w:ilvl w:val="0"/>
                <w:numId w:val="3"/>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Keep Fit With Karen</w:t>
            </w:r>
          </w:p>
          <w:p>
            <w:pPr>
              <w:pStyle w:val="Normal"/>
              <w:widowControl/>
              <w:numPr>
                <w:ilvl w:val="0"/>
                <w:numId w:val="3"/>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Pilates</w:t>
            </w:r>
          </w:p>
          <w:p>
            <w:pPr>
              <w:pStyle w:val="Normal"/>
              <w:widowControl/>
              <w:numPr>
                <w:ilvl w:val="0"/>
                <w:numId w:val="3"/>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Bingo</w:t>
            </w:r>
          </w:p>
          <w:p>
            <w:pPr>
              <w:pStyle w:val="Normal"/>
              <w:widowControl/>
              <w:numPr>
                <w:ilvl w:val="0"/>
                <w:numId w:val="3"/>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Keep Fit (Sarah)</w:t>
            </w:r>
          </w:p>
          <w:p>
            <w:pPr>
              <w:pStyle w:val="Normal"/>
              <w:widowControl/>
              <w:numPr>
                <w:ilvl w:val="0"/>
                <w:numId w:val="3"/>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Swim Exercise</w:t>
            </w:r>
          </w:p>
          <w:p>
            <w:pPr>
              <w:pStyle w:val="Normal"/>
              <w:widowControl/>
              <w:numPr>
                <w:ilvl w:val="0"/>
                <w:numId w:val="3"/>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Karate</w:t>
            </w:r>
          </w:p>
          <w:p>
            <w:pPr>
              <w:pStyle w:val="Normal"/>
              <w:widowControl/>
              <w:numPr>
                <w:ilvl w:val="0"/>
                <w:numId w:val="3"/>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Sing &amp; Sign</w:t>
            </w:r>
          </w:p>
          <w:p>
            <w:pPr>
              <w:pStyle w:val="Normal"/>
              <w:widowControl/>
              <w:numPr>
                <w:ilvl w:val="0"/>
                <w:numId w:val="3"/>
              </w:numPr>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Poole Heart Support Group</w:t>
            </w:r>
          </w:p>
          <w:p>
            <w:pPr>
              <w:pStyle w:val="Normal"/>
              <w:widowControl/>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Carey Hall is used as a polling station.</w:t>
            </w:r>
          </w:p>
          <w:p>
            <w:pPr>
              <w:pStyle w:val="Normal"/>
              <w:widowControl/>
              <w:suppressAutoHyphens w:val="true"/>
              <w:spacing w:lineRule="auto" w:line="240" w:before="0" w:after="0"/>
              <w:jc w:val="left"/>
              <w:rPr>
                <w:rFonts w:ascii="Arial" w:hAnsi="Arial" w:cs="Arial"/>
                <w:b/>
                <w:lang w:val="en-US"/>
              </w:rPr>
            </w:pPr>
            <w:r>
              <w:rPr>
                <w:rFonts w:eastAsia="Calibri" w:cs="Arial" w:ascii="Arial" w:hAnsi="Arial"/>
                <w:b/>
                <w:kern w:val="0"/>
                <w:sz w:val="22"/>
                <w:szCs w:val="22"/>
                <w:lang w:val="en-US" w:eastAsia="en-US" w:bidi="ar-SA"/>
              </w:rPr>
              <w:t>It is hired by local people for parties, wakes and wedding receptions.</w:t>
            </w:r>
          </w:p>
          <w:p>
            <w:pPr>
              <w:pStyle w:val="Normal"/>
              <w:widowControl/>
              <w:suppressAutoHyphens w:val="true"/>
              <w:spacing w:lineRule="auto" w:line="240" w:before="0" w:after="0"/>
              <w:jc w:val="left"/>
              <w:rPr>
                <w:rFonts w:ascii="Arial" w:hAnsi="Arial" w:cs="Arial"/>
                <w:b/>
                <w:lang w:val="en-US"/>
              </w:rPr>
            </w:pPr>
            <w:r>
              <w:rPr>
                <w:rFonts w:cs="Arial" w:ascii="Arial" w:hAnsi="Arial"/>
                <w:b/>
                <w:sz w:val="22"/>
                <w:lang w:val="en-US"/>
              </w:rPr>
            </w:r>
          </w:p>
        </w:tc>
      </w:tr>
      <w:tr>
        <w:trPr/>
        <w:tc>
          <w:tcPr>
            <w:tcW w:w="9242" w:type="dxa"/>
            <w:tcBorders/>
          </w:tcPr>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CHCT’s purpose is beneficial in that Carey Hall provides a meeting place for the community.</w:t>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CHCT’s purpose benefits the community by providing a warm / air conditioned, welcoming, well-lit, accessible, safe space for a great variety of sociable activities at an acceptable cost to the users.</w:t>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The Trustees will keep the hall financially viable and have regard to environmental factors while maintaining and improving the hall’s attractiveness to its users.</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Additional information (optional)</w:t>
      </w:r>
    </w:p>
    <w:p>
      <w:pPr>
        <w:pStyle w:val="Normal"/>
        <w:spacing w:lineRule="auto" w:line="240" w:before="0" w:after="0"/>
        <w:rPr>
          <w:rFonts w:ascii="Arial" w:hAnsi="Arial" w:cs="Arial"/>
        </w:rPr>
      </w:pPr>
      <w:r>
        <w:rPr>
          <w:rFonts w:cs="Arial" w:ascii="Arial" w:hAnsi="Arial"/>
        </w:rPr>
        <w:t>You may choose to include further statements where relevant about:</w:t>
      </w:r>
    </w:p>
    <w:tbl>
      <w:tblPr>
        <w:tblStyle w:val="TableGrid"/>
        <w:tblW w:w="9242" w:type="dxa"/>
        <w:jc w:val="left"/>
        <w:tblInd w:w="113" w:type="dxa"/>
        <w:tblLayout w:type="fixed"/>
        <w:tblCellMar>
          <w:top w:w="0" w:type="dxa"/>
          <w:left w:w="108" w:type="dxa"/>
          <w:bottom w:w="0" w:type="dxa"/>
          <w:right w:w="108" w:type="dxa"/>
        </w:tblCellMar>
        <w:tblLook w:val="04a0"/>
      </w:tblPr>
      <w:tblGrid>
        <w:gridCol w:w="3080"/>
        <w:gridCol w:w="6162"/>
      </w:tblGrid>
      <w:tr>
        <w:trPr/>
        <w:tc>
          <w:tcPr>
            <w:tcW w:w="3080"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Policy on grant making</w:t>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62" w:type="dxa"/>
            <w:tcBorders/>
          </w:tcPr>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n/a</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Policy on social investment including program related investment</w:t>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62" w:type="dxa"/>
            <w:tcBorders/>
          </w:tcPr>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n/a</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Contribution made by volunteers</w:t>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62" w:type="dxa"/>
            <w:tcBorders/>
          </w:tcPr>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CHCT has no employees. The Trustees and the operational committee members are volunteers.</w:t>
            </w:r>
          </w:p>
        </w:tc>
      </w:tr>
    </w:tbl>
    <w:p>
      <w:pPr>
        <w:pStyle w:val="Normal"/>
        <w:spacing w:lineRule="auto" w:line="240" w:before="0" w:after="0"/>
        <w:rPr>
          <w:rFonts w:ascii="Arial" w:hAnsi="Arial" w:cs="Arial"/>
          <w:b/>
          <w:sz w:val="28"/>
          <w:szCs w:val="28"/>
        </w:rPr>
      </w:pPr>
      <w:r>
        <w:rPr>
          <w:rFonts w:cs="Arial" w:ascii="Arial" w:hAnsi="Arial"/>
          <w:b/>
          <w:sz w:val="28"/>
          <w:szCs w:val="28"/>
        </w:rPr>
      </w:r>
    </w:p>
    <w:p>
      <w:pPr>
        <w:pStyle w:val="Normal"/>
        <w:spacing w:lineRule="auto" w:line="240" w:before="0" w:after="0"/>
        <w:rPr>
          <w:rFonts w:ascii="Arial" w:hAnsi="Arial" w:cs="Arial"/>
          <w:b/>
          <w:sz w:val="28"/>
          <w:szCs w:val="28"/>
        </w:rPr>
      </w:pPr>
      <w:r>
        <w:rPr>
          <w:rFonts w:cs="Arial" w:ascii="Arial" w:hAnsi="Arial"/>
          <w:b/>
          <w:sz w:val="28"/>
          <w:szCs w:val="28"/>
        </w:rPr>
      </w:r>
    </w:p>
    <w:p>
      <w:pPr>
        <w:pStyle w:val="Normal"/>
        <w:spacing w:lineRule="auto" w:line="240" w:before="0" w:after="0"/>
        <w:rPr>
          <w:rFonts w:ascii="Arial" w:hAnsi="Arial" w:cs="Arial"/>
          <w:b/>
          <w:sz w:val="28"/>
          <w:szCs w:val="28"/>
        </w:rPr>
      </w:pPr>
      <w:r>
        <w:rPr>
          <w:rFonts w:cs="Arial" w:ascii="Arial" w:hAnsi="Arial"/>
          <w:b/>
          <w:sz w:val="28"/>
          <w:szCs w:val="28"/>
        </w:rPr>
        <w:t>Achievements and Performance</w:t>
      </w:r>
    </w:p>
    <w:p>
      <w:pPr>
        <w:pStyle w:val="Normal"/>
        <w:spacing w:lineRule="auto" w:line="240" w:before="0" w:after="0"/>
        <w:rPr>
          <w:rFonts w:ascii="Arial" w:hAnsi="Arial" w:cs="Arial"/>
          <w:b/>
        </w:rPr>
      </w:pPr>
      <w:r>
        <w:rPr>
          <w:rFonts w:cs="Arial" w:ascii="Arial" w:hAnsi="Arial"/>
          <w:b/>
        </w:rPr>
      </w:r>
    </w:p>
    <w:tbl>
      <w:tblPr>
        <w:tblStyle w:val="TableGrid"/>
        <w:tblW w:w="9242" w:type="dxa"/>
        <w:jc w:val="left"/>
        <w:tblInd w:w="113" w:type="dxa"/>
        <w:tblLayout w:type="fixed"/>
        <w:tblCellMar>
          <w:top w:w="0" w:type="dxa"/>
          <w:left w:w="108" w:type="dxa"/>
          <w:bottom w:w="0" w:type="dxa"/>
          <w:right w:w="108" w:type="dxa"/>
        </w:tblCellMar>
        <w:tblLook w:val="04a0"/>
      </w:tblPr>
      <w:tblGrid>
        <w:gridCol w:w="9242"/>
      </w:tblGrid>
      <w:tr>
        <w:trPr>
          <w:trHeight w:val="4804" w:hRule="atLeast"/>
        </w:trPr>
        <w:tc>
          <w:tcPr>
            <w:tcW w:w="9242"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b/>
                <w:u w:val="single"/>
              </w:rPr>
            </w:pPr>
            <w:r>
              <w:rPr>
                <w:rFonts w:eastAsia="Calibri" w:cs="Arial" w:ascii="Arial" w:hAnsi="Arial"/>
                <w:b/>
                <w:kern w:val="0"/>
                <w:sz w:val="22"/>
                <w:szCs w:val="22"/>
                <w:u w:val="single"/>
                <w:lang w:val="en-GB" w:eastAsia="en-US" w:bidi="ar-SA"/>
              </w:rPr>
              <w:t>Achievements 2025-2026</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BOOKING</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Every weekday day time session is booked at least once a month.</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MAINTENANCE</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We used a two week closedown in August to paint the ceiling and walls in the kitchen and clean the cupboards. The curtains were taken down, washed, ironed and rehung. The upholstery of the chairs was cleaned. A coat of paint was put on the main outside door. The 5 year electrical check was done and necessary work completed.</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A concrete path was made from the fire exit near the electrical cupboard to the tarmac of the car park. A portable ramp was purchased for the kerb at the end of the path.</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Window frames were revarnished.</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We replaced the urn, a faulty closer on the kitchen door and the glass in the hall doors with safety glass.</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An electricity supply was introduced to the second water heater in the Ladies toilet.</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We bought and hung a new cork notice board.</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We replaced the email address, hirecareyhall, with careyhallwareham to which Julie and Sue Dean have access.</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FUNDRAISING</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We reduced the frequency of the table top sales to quarterly in the hope of attracting more sellers and buyers.</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Good attendance at Bingo yielded revenue for hall maintenance.</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We held a quiz to raise funds for acoustic panels.</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PUBLICITY</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Business cards, new facebook page and Instagram entry.</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COMMUNITY</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We held 2 community parties with an entertainer. Guests provided their own food and donations.</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The hall was well used by local people for children’s and family parties.</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We continued the monthly update to regular hirers with news of the hall as well as reminders about conditions of use.</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CHARITABLE STATUS</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We formulated financial procedures sharing the duties out between the booking secretary, secretary, treasurer and booking clerk. This seemed to work well with the booking secretary raising invoices for the hirers, the secretary monitoring payments and paying invoices, the booking clerk keeping an eye on the detail of the transactions and the treasurer keeping a more general financial control and producing an easily read, monthly report. Having financial procedures in place will make conversion of the charitable status easier. In addition, the Chair holds petty cash and keeps separate account.</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OTHER</w:t>
            </w:r>
          </w:p>
          <w:p>
            <w:pPr>
              <w:pStyle w:val="Normal"/>
              <w:widowControl/>
              <w:suppressAutoHyphens w:val="true"/>
              <w:spacing w:lineRule="auto" w:line="240" w:before="0" w:after="0"/>
              <w:jc w:val="left"/>
              <w:rPr>
                <w:rFonts w:ascii="Arial" w:hAnsi="Arial" w:eastAsia="Calibri" w:cs="Arial"/>
                <w:b w:val="false"/>
                <w:bCs w:val="false"/>
                <w:kern w:val="0"/>
                <w:sz w:val="22"/>
                <w:szCs w:val="22"/>
                <w:lang w:val="en-GB" w:eastAsia="en-US" w:bidi="ar-SA"/>
              </w:rPr>
            </w:pPr>
            <w:r>
              <w:rPr>
                <w:rFonts w:eastAsia="Calibri" w:cs="Arial" w:ascii="Arial" w:hAnsi="Arial"/>
                <w:b w:val="false"/>
                <w:bCs w:val="false"/>
                <w:kern w:val="0"/>
                <w:sz w:val="22"/>
                <w:szCs w:val="22"/>
                <w:lang w:val="en-GB" w:eastAsia="en-US" w:bidi="ar-SA"/>
              </w:rPr>
              <w:t>Water trays have been introduced in the wildlife area. The dead hedge has been rlaid as a habitat for hedgehogs and other wildlife. The broken wildlife sign was replaced.</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Additional information (optional)</w:t>
      </w:r>
    </w:p>
    <w:p>
      <w:pPr>
        <w:pStyle w:val="Normal"/>
        <w:spacing w:lineRule="auto" w:line="240" w:before="0" w:after="0"/>
        <w:rPr>
          <w:rFonts w:ascii="Arial" w:hAnsi="Arial" w:cs="Arial"/>
        </w:rPr>
      </w:pPr>
      <w:r>
        <w:rPr>
          <w:rFonts w:cs="Arial" w:ascii="Arial" w:hAnsi="Arial"/>
        </w:rPr>
        <w:t>You may choose to include further statements where relevant about:</w:t>
      </w:r>
    </w:p>
    <w:tbl>
      <w:tblPr>
        <w:tblStyle w:val="TableGrid"/>
        <w:tblW w:w="9242" w:type="dxa"/>
        <w:jc w:val="left"/>
        <w:tblInd w:w="113" w:type="dxa"/>
        <w:tblLayout w:type="fixed"/>
        <w:tblCellMar>
          <w:top w:w="0" w:type="dxa"/>
          <w:left w:w="108" w:type="dxa"/>
          <w:bottom w:w="0" w:type="dxa"/>
          <w:right w:w="108" w:type="dxa"/>
        </w:tblCellMar>
        <w:tblLook w:val="04a0"/>
      </w:tblPr>
      <w:tblGrid>
        <w:gridCol w:w="4644"/>
        <w:gridCol w:w="4598"/>
      </w:tblGrid>
      <w:tr>
        <w:trPr/>
        <w:tc>
          <w:tcPr>
            <w:tcW w:w="4644" w:type="dxa"/>
            <w:tcBorders/>
          </w:tcPr>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Objectives 2024/25:</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Community party to bring local community into the hall</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Improve the immediate surroundings of the hall</w:t>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eastAsia="Calibri" w:cs="Arial" w:ascii="Arial" w:hAnsi="Arial"/>
                <w:kern w:val="0"/>
                <w:sz w:val="22"/>
                <w:szCs w:val="22"/>
                <w:lang w:val="en-GB" w:eastAsia="en-US" w:bidi="ar-SA"/>
              </w:rPr>
              <w:t>To develop the wildlife area</w:t>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22"/>
                <w:szCs w:val="22"/>
              </w:rPr>
            </w:pPr>
            <w:r>
              <w:rPr>
                <w:rFonts w:cs="Arial" w:ascii="Arial" w:hAnsi="Arial"/>
                <w:sz w:val="22"/>
                <w:szCs w:val="22"/>
              </w:rPr>
              <w:t>T</w:t>
            </w:r>
            <w:r>
              <w:rPr>
                <w:rFonts w:eastAsia="Calibri" w:cs="Arial" w:ascii="Arial" w:hAnsi="Arial"/>
                <w:kern w:val="0"/>
                <w:sz w:val="22"/>
                <w:szCs w:val="22"/>
                <w:lang w:val="en-GB" w:eastAsia="en-US" w:bidi="ar-SA"/>
              </w:rPr>
              <w:t>o maintain a reasonable temperature for hirers</w:t>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tc>
        <w:tc>
          <w:tcPr>
            <w:tcW w:w="4598" w:type="dxa"/>
            <w:tcBorders/>
          </w:tcPr>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Achievements:</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40-50 people attended both parties.</w:t>
            </w:r>
          </w:p>
          <w:p>
            <w:pPr>
              <w:pStyle w:val="Normal"/>
              <w:widowControl/>
              <w:suppressAutoHyphens w:val="true"/>
              <w:spacing w:lineRule="auto" w:line="240" w:before="0" w:after="0"/>
              <w:jc w:val="left"/>
              <w:rPr>
                <w:rFonts w:ascii="Arial" w:hAnsi="Arial" w:cs="Arial"/>
                <w:b/>
              </w:rPr>
            </w:pPr>
            <w:r>
              <w:rPr>
                <w:rFonts w:cs="Arial" w:ascii="Arial" w:hAnsi="Arial"/>
                <w:b/>
                <w:sz w:val="22"/>
              </w:rPr>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The grass at the front of the hall was regularly mown. Flowers grew from seeds in the two small beds alongside the new path.</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Brambles etc. were cleared from the bed near the disabled bus parking place.</w:t>
            </w:r>
          </w:p>
          <w:p>
            <w:pPr>
              <w:pStyle w:val="Normal"/>
              <w:widowControl/>
              <w:suppressAutoHyphens w:val="true"/>
              <w:spacing w:lineRule="auto" w:line="240" w:before="0" w:after="0"/>
              <w:jc w:val="left"/>
              <w:rPr>
                <w:rFonts w:ascii="Arial" w:hAnsi="Arial" w:cs="Arial"/>
                <w:b w:val="false"/>
                <w:bCs w:val="false"/>
                <w:sz w:val="22"/>
              </w:rPr>
            </w:pPr>
            <w:r>
              <w:rPr>
                <w:rFonts w:cs="Arial" w:ascii="Arial" w:hAnsi="Arial"/>
                <w:b w:val="false"/>
                <w:bCs w:val="false"/>
                <w:sz w:val="22"/>
              </w:rPr>
              <w:t>Slow worms were seen under the reptile mats. Paths were cut through unmown grass. It was visited by a judge from South and Southeast Britain In Bloom</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After a brief interruption when the air cooling did not work, we were able to cool the hall on days when the temperature outside was above 23 which allowed sessions which might otherwise have had to be cancelled to continue.</w:t>
            </w:r>
          </w:p>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4644"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b/>
                <w:kern w:val="0"/>
                <w:sz w:val="22"/>
                <w:szCs w:val="22"/>
                <w:lang w:val="en-GB" w:eastAsia="en-US" w:bidi="ar-SA"/>
              </w:rPr>
              <w:t>Objectives 2024/25:</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To maintain / increase the level of hiring</w:t>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eastAsia="Calibri" w:cs="Arial" w:ascii="Arial" w:hAnsi="Arial"/>
                <w:kern w:val="0"/>
                <w:sz w:val="22"/>
                <w:szCs w:val="22"/>
                <w:lang w:val="en-GB" w:eastAsia="en-US" w:bidi="ar-SA"/>
              </w:rPr>
              <w:t>Fundraising</w:t>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eastAsia="Calibri" w:cs="Arial" w:ascii="Arial" w:hAnsi="Arial"/>
                <w:kern w:val="0"/>
                <w:sz w:val="22"/>
                <w:szCs w:val="22"/>
                <w:lang w:val="en-GB" w:eastAsia="en-US" w:bidi="ar-SA"/>
              </w:rPr>
              <w:t>Publicity</w:t>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tc>
        <w:tc>
          <w:tcPr>
            <w:tcW w:w="4598" w:type="dxa"/>
            <w:tcBorders/>
          </w:tcPr>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Fundraising</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The week day bookings stayed steady in 2026 at 46 out of 60 sessions per 4 weeks. As some groups meet once a month, it is not always possible to fill the same session on other weeks in the month. Weekend bookings are irregular so that the hall is available for local people but the committee decided that we would hire the hall for one Sunday evening a month to a church group.</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As the monthly table top sales were not attracting sufficient interest, we decided to limit them to quarterly.</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Attendance at Bingo on Friday afternoons was good providing revenue for hall maintenance.</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Carey Hall was publicised on Wareham community facebook page as well as its own facebook page and website.</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Posts appeared in the Whats On feature in the Gazette.</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Events appeared in the Love It Local events feature.</w:t>
            </w:r>
          </w:p>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4644" w:type="dxa"/>
            <w:tcBorders/>
          </w:tcPr>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Objectives 2024/25</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To aim to increase the reserve to at least £25,000, initially £22,000 by the end of June 2025.</w:t>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tc>
        <w:tc>
          <w:tcPr>
            <w:tcW w:w="4598" w:type="dxa"/>
            <w:tcBorders/>
          </w:tcPr>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Investment</w:t>
            </w:r>
          </w:p>
          <w:p>
            <w:pPr>
              <w:pStyle w:val="Normal"/>
              <w:widowControl/>
              <w:suppressAutoHyphens w:val="true"/>
              <w:spacing w:lineRule="auto" w:line="240" w:before="0" w:after="0"/>
              <w:jc w:val="left"/>
              <w:rPr>
                <w:rFonts w:ascii="Arial" w:hAnsi="Arial" w:cs="Arial"/>
                <w:b/>
              </w:rPr>
            </w:pPr>
            <w:r>
              <w:rPr>
                <w:rFonts w:eastAsia="Calibri" w:cs="Arial" w:ascii="Arial" w:hAnsi="Arial"/>
                <w:kern w:val="0"/>
                <w:sz w:val="22"/>
                <w:szCs w:val="22"/>
                <w:lang w:val="en-GB" w:eastAsia="en-US" w:bidi="ar-SA"/>
              </w:rPr>
              <w:t>The reserve is held in a Barclays savings account which gives little interest but has minimal risk</w:t>
            </w:r>
            <w:r>
              <w:rPr>
                <w:rFonts w:eastAsia="Calibri" w:cs="Arial" w:ascii="Arial" w:hAnsi="Arial"/>
                <w:b/>
                <w:kern w:val="0"/>
                <w:sz w:val="22"/>
                <w:szCs w:val="22"/>
                <w:lang w:val="en-GB" w:eastAsia="en-US" w:bidi="ar-SA"/>
              </w:rPr>
              <w:t xml:space="preserve">. </w:t>
            </w:r>
            <w:r>
              <w:rPr>
                <w:rFonts w:eastAsia="Calibri" w:cs="Arial" w:ascii="Arial" w:hAnsi="Arial"/>
                <w:b w:val="false"/>
                <w:bCs w:val="false"/>
                <w:kern w:val="0"/>
                <w:sz w:val="22"/>
                <w:szCs w:val="22"/>
                <w:lang w:val="en-GB" w:eastAsia="en-US" w:bidi="ar-SA"/>
              </w:rPr>
              <w:t>The balance on 13.06.26 was £26,215.</w:t>
            </w:r>
          </w:p>
        </w:tc>
      </w:tr>
    </w:tbl>
    <w:p>
      <w:pPr>
        <w:pStyle w:val="Normal"/>
        <w:spacing w:lineRule="auto" w:line="240" w:before="0" w:after="0"/>
        <w:rPr>
          <w:rFonts w:ascii="Arial" w:hAnsi="Arial" w:cs="Arial"/>
        </w:rPr>
      </w:pPr>
      <w:r>
        <w:rPr>
          <w:rFonts w:cs="Arial" w:ascii="Arial" w:hAnsi="Arial"/>
        </w:rPr>
      </w:r>
    </w:p>
    <w:p>
      <w:pPr>
        <w:pStyle w:val="Normal"/>
        <w:rPr>
          <w:rFonts w:ascii="Arial" w:hAnsi="Arial" w:cs="Arial"/>
          <w:b/>
          <w:sz w:val="28"/>
          <w:szCs w:val="28"/>
        </w:rPr>
      </w:pPr>
      <w:r>
        <w:rPr>
          <w:rFonts w:cs="Arial" w:ascii="Arial" w:hAnsi="Arial"/>
          <w:b/>
          <w:sz w:val="28"/>
          <w:szCs w:val="28"/>
        </w:rPr>
      </w:r>
      <w:r>
        <w:br w:type="page"/>
      </w:r>
    </w:p>
    <w:p>
      <w:pPr>
        <w:pStyle w:val="Normal"/>
        <w:spacing w:lineRule="auto" w:line="240" w:before="0" w:after="0"/>
        <w:rPr>
          <w:rFonts w:ascii="Arial" w:hAnsi="Arial" w:cs="Arial"/>
          <w:b/>
          <w:sz w:val="28"/>
          <w:szCs w:val="28"/>
        </w:rPr>
      </w:pPr>
      <w:r>
        <w:rPr>
          <w:rFonts w:cs="Arial" w:ascii="Arial" w:hAnsi="Arial"/>
          <w:b/>
          <w:sz w:val="28"/>
          <w:szCs w:val="28"/>
        </w:rPr>
        <w:t>Financial Review</w:t>
      </w:r>
    </w:p>
    <w:p>
      <w:pPr>
        <w:pStyle w:val="Normal"/>
        <w:spacing w:lineRule="auto" w:line="240" w:before="0" w:after="0"/>
        <w:rPr>
          <w:rFonts w:ascii="Arial" w:hAnsi="Arial" w:cs="Arial"/>
          <w:b/>
        </w:rPr>
      </w:pPr>
      <w:r>
        <w:rPr>
          <w:rFonts w:cs="Arial" w:ascii="Arial" w:hAnsi="Arial"/>
          <w:b/>
        </w:rPr>
      </w:r>
    </w:p>
    <w:tbl>
      <w:tblPr>
        <w:tblStyle w:val="TableGrid"/>
        <w:tblW w:w="9242" w:type="dxa"/>
        <w:jc w:val="left"/>
        <w:tblInd w:w="113" w:type="dxa"/>
        <w:tblLayout w:type="fixed"/>
        <w:tblCellMar>
          <w:top w:w="0" w:type="dxa"/>
          <w:left w:w="108" w:type="dxa"/>
          <w:bottom w:w="0" w:type="dxa"/>
          <w:right w:w="108" w:type="dxa"/>
        </w:tblCellMar>
        <w:tblLook w:val="04a0"/>
      </w:tblPr>
      <w:tblGrid>
        <w:gridCol w:w="3080"/>
        <w:gridCol w:w="6162"/>
      </w:tblGrid>
      <w:tr>
        <w:trPr>
          <w:trHeight w:val="1360" w:hRule="atLeast"/>
        </w:trPr>
        <w:tc>
          <w:tcPr>
            <w:tcW w:w="3080"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Review of the charity’s financial position at the end of the period</w:t>
            </w:r>
          </w:p>
        </w:tc>
        <w:tc>
          <w:tcPr>
            <w:tcW w:w="6162" w:type="dxa"/>
            <w:tcBorders/>
          </w:tcPr>
          <w:p>
            <w:pPr>
              <w:pStyle w:val="Normal"/>
              <w:widowControl/>
              <w:suppressAutoHyphens w:val="true"/>
              <w:spacing w:lineRule="auto" w:line="240" w:before="0" w:after="0"/>
              <w:jc w:val="left"/>
              <w:rPr>
                <w:rFonts w:ascii="Arial" w:hAnsi="Arial"/>
                <w:b w:val="false"/>
                <w:bCs w:val="false"/>
                <w:sz w:val="22"/>
              </w:rPr>
            </w:pPr>
            <w:r>
              <w:rPr>
                <w:rFonts w:ascii="Arial" w:hAnsi="Arial"/>
                <w:b w:val="false"/>
                <w:bCs w:val="false"/>
                <w:sz w:val="22"/>
              </w:rPr>
              <w:t>The charity was in a healthy financial position at the end of June 2026. The closed period this year is 24-28 August. Including Bingo in the Spotlight feature in the Gazette brought in some extra punters.</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Statement explaining the policy for holding reserves stating why they are held</w:t>
            </w:r>
          </w:p>
        </w:tc>
        <w:tc>
          <w:tcPr>
            <w:tcW w:w="6162" w:type="dxa"/>
            <w:tcBorders/>
          </w:tcPr>
          <w:p>
            <w:pPr>
              <w:pStyle w:val="Normal"/>
              <w:widowControl/>
              <w:suppressAutoHyphens w:val="true"/>
              <w:spacing w:lineRule="auto" w:line="240" w:before="0" w:after="0"/>
              <w:jc w:val="left"/>
              <w:rPr>
                <w:b w:val="false"/>
                <w:bCs w:val="false"/>
                <w:sz w:val="22"/>
              </w:rPr>
            </w:pPr>
            <w:r>
              <w:rPr>
                <w:rFonts w:eastAsia="Calibri" w:cs="Arial" w:ascii="Arial" w:hAnsi="Arial"/>
                <w:b w:val="false"/>
                <w:bCs w:val="false"/>
                <w:kern w:val="0"/>
                <w:sz w:val="22"/>
                <w:szCs w:val="22"/>
                <w:lang w:val="en-GB" w:eastAsia="en-US" w:bidi="ar-SA"/>
              </w:rPr>
              <w:t>We now have a Reserves Policy. The reason for holding reserves are 1) to cover expenses if we should need to close the hall for safety reasons and lost the hire income as a result and 2) to cover the cost of maintenance work arising from general wear and tear on a 30 year old building.</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Amount of reserves held</w:t>
            </w:r>
          </w:p>
        </w:tc>
        <w:tc>
          <w:tcPr>
            <w:tcW w:w="6162" w:type="dxa"/>
            <w:tcBorders/>
          </w:tcPr>
          <w:p>
            <w:pPr>
              <w:pStyle w:val="Normal"/>
              <w:widowControl/>
              <w:suppressAutoHyphens w:val="true"/>
              <w:spacing w:lineRule="auto" w:line="240" w:before="0" w:after="0"/>
              <w:jc w:val="left"/>
              <w:rPr>
                <w:b w:val="false"/>
                <w:bCs w:val="false"/>
                <w:sz w:val="22"/>
              </w:rPr>
            </w:pPr>
            <w:r>
              <w:rPr>
                <w:rFonts w:eastAsia="Calibri" w:cs="Arial" w:ascii="Arial" w:hAnsi="Arial"/>
                <w:b w:val="false"/>
                <w:bCs w:val="false"/>
                <w:kern w:val="0"/>
                <w:sz w:val="22"/>
                <w:szCs w:val="22"/>
                <w:lang w:val="en-GB" w:eastAsia="en-US" w:bidi="ar-SA"/>
              </w:rPr>
              <w:t>£25,000</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Reasons for holding zero reserves</w:t>
            </w:r>
          </w:p>
        </w:tc>
        <w:tc>
          <w:tcPr>
            <w:tcW w:w="6162" w:type="dxa"/>
            <w:tcBorders/>
          </w:tcPr>
          <w:p>
            <w:pPr>
              <w:pStyle w:val="Normal"/>
              <w:widowControl/>
              <w:suppressAutoHyphens w:val="true"/>
              <w:spacing w:lineRule="auto" w:line="240" w:before="0" w:after="0"/>
              <w:jc w:val="left"/>
              <w:rPr>
                <w:b w:val="false"/>
                <w:bCs w:val="false"/>
                <w:sz w:val="22"/>
              </w:rPr>
            </w:pPr>
            <w:r>
              <w:rPr>
                <w:rFonts w:eastAsia="Calibri" w:cs="Arial" w:ascii="Arial" w:hAnsi="Arial"/>
                <w:b w:val="false"/>
                <w:bCs w:val="false"/>
                <w:kern w:val="0"/>
                <w:sz w:val="22"/>
                <w:szCs w:val="22"/>
                <w:lang w:val="en-GB" w:eastAsia="en-US" w:bidi="ar-SA"/>
              </w:rPr>
              <w:t>n/a</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Details of fund materially in deficit</w:t>
            </w:r>
          </w:p>
        </w:tc>
        <w:tc>
          <w:tcPr>
            <w:tcW w:w="6162" w:type="dxa"/>
            <w:tcBorders/>
          </w:tcPr>
          <w:p>
            <w:pPr>
              <w:pStyle w:val="Normal"/>
              <w:widowControl/>
              <w:suppressAutoHyphens w:val="true"/>
              <w:spacing w:lineRule="auto" w:line="240" w:before="0" w:after="0"/>
              <w:jc w:val="left"/>
              <w:rPr>
                <w:b w:val="false"/>
                <w:bCs w:val="false"/>
                <w:sz w:val="22"/>
              </w:rPr>
            </w:pPr>
            <w:r>
              <w:rPr>
                <w:rFonts w:eastAsia="Calibri" w:cs="Arial" w:ascii="Arial" w:hAnsi="Arial"/>
                <w:b w:val="false"/>
                <w:bCs w:val="false"/>
                <w:kern w:val="0"/>
                <w:sz w:val="22"/>
                <w:szCs w:val="22"/>
                <w:lang w:val="en-GB" w:eastAsia="en-US" w:bidi="ar-SA"/>
              </w:rPr>
              <w:t>n/a</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Explanation of any uncertainties about the charity continuing as a going concern</w:t>
            </w:r>
          </w:p>
        </w:tc>
        <w:tc>
          <w:tcPr>
            <w:tcW w:w="6162" w:type="dxa"/>
            <w:tcBorders/>
          </w:tcPr>
          <w:p>
            <w:pPr>
              <w:pStyle w:val="Normal"/>
              <w:widowControl/>
              <w:suppressAutoHyphens w:val="true"/>
              <w:spacing w:lineRule="auto" w:line="240" w:before="0" w:after="0"/>
              <w:jc w:val="left"/>
              <w:rPr>
                <w:b w:val="false"/>
                <w:bCs w:val="false"/>
                <w:sz w:val="22"/>
              </w:rPr>
            </w:pPr>
            <w:r>
              <w:rPr>
                <w:rFonts w:eastAsia="Calibri" w:cs="Arial" w:ascii="Arial" w:hAnsi="Arial"/>
                <w:b w:val="false"/>
                <w:bCs w:val="false"/>
                <w:kern w:val="0"/>
                <w:sz w:val="22"/>
                <w:szCs w:val="22"/>
                <w:lang w:val="en-GB" w:eastAsia="en-US" w:bidi="ar-SA"/>
              </w:rPr>
              <w:t>Insurance cover including solar panels</w:t>
            </w:r>
          </w:p>
          <w:p>
            <w:pPr>
              <w:pStyle w:val="Normal"/>
              <w:widowControl/>
              <w:suppressAutoHyphens w:val="true"/>
              <w:spacing w:lineRule="auto" w:line="240" w:before="0" w:after="0"/>
              <w:jc w:val="left"/>
              <w:rPr>
                <w:b w:val="false"/>
                <w:bCs w:val="false"/>
                <w:sz w:val="22"/>
              </w:rPr>
            </w:pPr>
            <w:r>
              <w:rPr>
                <w:rFonts w:eastAsia="Calibri" w:cs="Arial" w:ascii="Arial" w:hAnsi="Arial"/>
                <w:b w:val="false"/>
                <w:bCs w:val="false"/>
                <w:kern w:val="0"/>
                <w:sz w:val="22"/>
                <w:szCs w:val="22"/>
                <w:lang w:val="en-GB" w:eastAsia="en-US" w:bidi="ar-SA"/>
              </w:rPr>
              <w:t>building £818,548</w:t>
            </w:r>
          </w:p>
          <w:p>
            <w:pPr>
              <w:pStyle w:val="Normal"/>
              <w:widowControl/>
              <w:suppressAutoHyphens w:val="true"/>
              <w:spacing w:lineRule="auto" w:line="240" w:before="0" w:after="0"/>
              <w:jc w:val="left"/>
              <w:rPr>
                <w:b w:val="false"/>
                <w:bCs w:val="false"/>
                <w:sz w:val="22"/>
              </w:rPr>
            </w:pPr>
            <w:r>
              <w:rPr>
                <w:rFonts w:eastAsia="Calibri" w:cs="Arial" w:ascii="Arial" w:hAnsi="Arial"/>
                <w:b w:val="false"/>
                <w:bCs w:val="false"/>
                <w:kern w:val="0"/>
                <w:sz w:val="22"/>
                <w:szCs w:val="22"/>
                <w:lang w:val="en-GB" w:eastAsia="en-US" w:bidi="ar-SA"/>
              </w:rPr>
              <w:t>contents £11,812</w:t>
            </w:r>
          </w:p>
          <w:p>
            <w:pPr>
              <w:pStyle w:val="Normal"/>
              <w:widowControl/>
              <w:suppressAutoHyphens w:val="true"/>
              <w:spacing w:lineRule="auto" w:line="240" w:before="0" w:after="0"/>
              <w:jc w:val="left"/>
              <w:rPr>
                <w:b w:val="false"/>
                <w:bCs w:val="false"/>
                <w:sz w:val="22"/>
              </w:rPr>
            </w:pPr>
            <w:r>
              <w:rPr>
                <w:rFonts w:eastAsia="Calibri" w:cs="Arial" w:ascii="Arial" w:hAnsi="Arial"/>
                <w:b w:val="false"/>
                <w:bCs w:val="false"/>
                <w:kern w:val="0"/>
                <w:sz w:val="22"/>
                <w:szCs w:val="22"/>
                <w:lang w:val="en-GB" w:eastAsia="en-US" w:bidi="ar-SA"/>
              </w:rPr>
              <w:t>defibrillator £5,000</w:t>
            </w:r>
          </w:p>
          <w:p>
            <w:pPr>
              <w:pStyle w:val="Normal"/>
              <w:widowControl/>
              <w:suppressAutoHyphens w:val="true"/>
              <w:spacing w:lineRule="auto" w:line="240" w:before="0" w:after="0"/>
              <w:jc w:val="left"/>
              <w:rPr>
                <w:b w:val="false"/>
                <w:bCs w:val="false"/>
                <w:sz w:val="22"/>
              </w:rPr>
            </w:pPr>
            <w:r>
              <w:rPr>
                <w:rFonts w:eastAsia="Calibri" w:cs="Arial" w:ascii="Arial" w:hAnsi="Arial"/>
                <w:b w:val="false"/>
                <w:bCs w:val="false"/>
                <w:kern w:val="0"/>
                <w:sz w:val="22"/>
                <w:szCs w:val="22"/>
                <w:lang w:val="en-GB" w:eastAsia="en-US" w:bidi="ar-SA"/>
              </w:rPr>
              <w:t>loss of revenue £35,000</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Additional information (optional)</w:t>
      </w:r>
    </w:p>
    <w:p>
      <w:pPr>
        <w:pStyle w:val="Normal"/>
        <w:spacing w:lineRule="auto" w:line="240" w:before="0" w:after="0"/>
        <w:rPr>
          <w:rFonts w:ascii="Arial" w:hAnsi="Arial" w:cs="Arial"/>
        </w:rPr>
      </w:pPr>
      <w:r>
        <w:rPr>
          <w:rFonts w:cs="Arial" w:ascii="Arial" w:hAnsi="Arial"/>
        </w:rPr>
        <w:t>You may choose to include further statements where relevant about:</w:t>
      </w:r>
    </w:p>
    <w:tbl>
      <w:tblPr>
        <w:tblStyle w:val="TableGrid"/>
        <w:tblW w:w="9242" w:type="dxa"/>
        <w:jc w:val="left"/>
        <w:tblInd w:w="113" w:type="dxa"/>
        <w:tblLayout w:type="fixed"/>
        <w:tblCellMar>
          <w:top w:w="0" w:type="dxa"/>
          <w:left w:w="108" w:type="dxa"/>
          <w:bottom w:w="0" w:type="dxa"/>
          <w:right w:w="108" w:type="dxa"/>
        </w:tblCellMar>
        <w:tblLook w:val="04a0"/>
      </w:tblPr>
      <w:tblGrid>
        <w:gridCol w:w="3080"/>
        <w:gridCol w:w="6162"/>
      </w:tblGrid>
      <w:tr>
        <w:trPr/>
        <w:tc>
          <w:tcPr>
            <w:tcW w:w="3080"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The charity’s principal sources of funds (including any fundraising)</w:t>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62" w:type="dxa"/>
            <w:tcBorders/>
          </w:tcPr>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Hall lets</w:t>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Bingo afternoons</w:t>
            </w:r>
          </w:p>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Investment policy and objectives including any social investment policy adopted</w:t>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62" w:type="dxa"/>
            <w:tcBorders/>
          </w:tcPr>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n/a</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A description of the principal risks facing the charity</w:t>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62" w:type="dxa"/>
            <w:tcBorders/>
          </w:tcPr>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Anything which would prevent the hall being hired out. The cost of maintaining the building would continue without the income.</w:t>
            </w:r>
          </w:p>
        </w:tc>
      </w:tr>
    </w:tbl>
    <w:p>
      <w:pPr>
        <w:pStyle w:val="Normal"/>
        <w:spacing w:lineRule="auto" w:line="240" w:before="0" w:after="0"/>
        <w:rPr>
          <w:rFonts w:ascii="Arial" w:hAnsi="Arial" w:cs="Arial"/>
        </w:rPr>
      </w:pPr>
      <w:r>
        <w:rPr>
          <w:rFonts w:cs="Arial" w:ascii="Arial" w:hAnsi="Arial"/>
        </w:rPr>
      </w:r>
    </w:p>
    <w:p>
      <w:pPr>
        <w:pStyle w:val="Normal"/>
        <w:rPr>
          <w:rFonts w:ascii="Arial" w:hAnsi="Arial" w:cs="Arial"/>
          <w:b/>
          <w:sz w:val="28"/>
          <w:szCs w:val="28"/>
        </w:rPr>
      </w:pPr>
      <w:r>
        <w:rPr>
          <w:rFonts w:cs="Arial" w:ascii="Arial" w:hAnsi="Arial"/>
          <w:b/>
          <w:sz w:val="28"/>
          <w:szCs w:val="28"/>
        </w:rPr>
      </w:r>
      <w:r>
        <w:br w:type="page"/>
      </w:r>
    </w:p>
    <w:p>
      <w:pPr>
        <w:pStyle w:val="Normal"/>
        <w:spacing w:lineRule="auto" w:line="240" w:before="0" w:after="0"/>
        <w:rPr>
          <w:rFonts w:ascii="Arial" w:hAnsi="Arial" w:cs="Arial"/>
          <w:b/>
          <w:sz w:val="28"/>
          <w:szCs w:val="28"/>
        </w:rPr>
      </w:pPr>
      <w:r>
        <w:rPr>
          <w:rFonts w:cs="Arial" w:ascii="Arial" w:hAnsi="Arial"/>
          <w:b/>
          <w:sz w:val="28"/>
          <w:szCs w:val="28"/>
        </w:rPr>
        <w:t>Structure, Governance and Management</w:t>
      </w:r>
    </w:p>
    <w:p>
      <w:pPr>
        <w:pStyle w:val="Normal"/>
        <w:spacing w:lineRule="auto" w:line="240" w:before="0" w:after="0"/>
        <w:rPr>
          <w:rFonts w:ascii="Arial" w:hAnsi="Arial" w:cs="Arial"/>
          <w:b/>
        </w:rPr>
      </w:pPr>
      <w:r>
        <w:rPr>
          <w:rFonts w:cs="Arial" w:ascii="Arial" w:hAnsi="Arial"/>
          <w:b/>
        </w:rPr>
      </w:r>
    </w:p>
    <w:tbl>
      <w:tblPr>
        <w:tblStyle w:val="TableGrid"/>
        <w:tblW w:w="9242" w:type="dxa"/>
        <w:jc w:val="left"/>
        <w:tblInd w:w="113" w:type="dxa"/>
        <w:tblLayout w:type="fixed"/>
        <w:tblCellMar>
          <w:top w:w="0" w:type="dxa"/>
          <w:left w:w="108" w:type="dxa"/>
          <w:bottom w:w="0" w:type="dxa"/>
          <w:right w:w="108" w:type="dxa"/>
        </w:tblCellMar>
        <w:tblLook w:val="04a0"/>
      </w:tblPr>
      <w:tblGrid>
        <w:gridCol w:w="3080"/>
        <w:gridCol w:w="6162"/>
      </w:tblGrid>
      <w:tr>
        <w:trPr/>
        <w:tc>
          <w:tcPr>
            <w:tcW w:w="3080"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Description of charity’s trusts:</w:t>
            </w:r>
          </w:p>
        </w:tc>
        <w:tc>
          <w:tcPr>
            <w:tcW w:w="6162"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Type of governing document</w:t>
            </w:r>
          </w:p>
          <w:p>
            <w:pPr>
              <w:pStyle w:val="Normal"/>
              <w:widowControl/>
              <w:suppressAutoHyphens w:val="true"/>
              <w:spacing w:lineRule="auto" w:line="240" w:before="0" w:after="0"/>
              <w:jc w:val="left"/>
              <w:rPr>
                <w:rFonts w:ascii="Arial" w:hAnsi="Arial" w:cs="Arial"/>
              </w:rPr>
            </w:pPr>
            <w:r>
              <w:rPr>
                <w:rFonts w:eastAsia="Calibri" w:cs="Arial" w:ascii="Arial" w:hAnsi="Arial"/>
                <w:color w:themeColor="text2" w:themeTint="66" w:val="8DB3E2"/>
                <w:kern w:val="0"/>
                <w:sz w:val="22"/>
                <w:szCs w:val="22"/>
                <w:lang w:val="en-GB" w:eastAsia="en-US" w:bidi="ar-SA"/>
              </w:rPr>
              <w:t>(trust deed, royal charter)</w:t>
            </w:r>
          </w:p>
        </w:tc>
        <w:tc>
          <w:tcPr>
            <w:tcW w:w="6162" w:type="dxa"/>
            <w:tcBorders/>
          </w:tcPr>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Trust deed</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How is the charity constituted?</w:t>
            </w:r>
          </w:p>
          <w:p>
            <w:pPr>
              <w:pStyle w:val="Normal"/>
              <w:widowControl/>
              <w:suppressAutoHyphens w:val="true"/>
              <w:spacing w:lineRule="auto" w:line="240" w:before="0" w:after="0"/>
              <w:jc w:val="left"/>
              <w:rPr>
                <w:rFonts w:ascii="Arial" w:hAnsi="Arial" w:cs="Arial"/>
              </w:rPr>
            </w:pPr>
            <w:r>
              <w:rPr>
                <w:rFonts w:eastAsia="Calibri" w:cs="Arial" w:ascii="Arial" w:hAnsi="Arial"/>
                <w:color w:themeColor="text2" w:themeTint="66" w:val="8DB3E2"/>
                <w:kern w:val="0"/>
                <w:sz w:val="22"/>
                <w:szCs w:val="22"/>
                <w:lang w:val="en-GB" w:eastAsia="en-US" w:bidi="ar-SA"/>
              </w:rPr>
              <w:t>(e.g unincorporated association, CIO)</w:t>
            </w:r>
          </w:p>
        </w:tc>
        <w:tc>
          <w:tcPr>
            <w:tcW w:w="6162" w:type="dxa"/>
            <w:tcBorders/>
          </w:tcPr>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Charitable trust</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Trustee selection methods including details of any constitutional provisions e.g. election to post or name of any person or body entitled to appoint one or more trustees</w:t>
            </w:r>
          </w:p>
        </w:tc>
        <w:tc>
          <w:tcPr>
            <w:tcW w:w="6162" w:type="dxa"/>
            <w:tcBorders/>
          </w:tcPr>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Trustees are elected at the Annual General Meeting. Each organisation which regularly hires the hall will be notified of the AGM. Each Trustee signs to accept and act in the trusts of the deed. Anyone who is bankrupt or has an arrangement with creditors is disqualified.</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Additional information (optional)</w:t>
      </w:r>
    </w:p>
    <w:p>
      <w:pPr>
        <w:pStyle w:val="Normal"/>
        <w:spacing w:lineRule="auto" w:line="240" w:before="0" w:after="0"/>
        <w:rPr>
          <w:rFonts w:ascii="Arial" w:hAnsi="Arial" w:cs="Arial"/>
        </w:rPr>
      </w:pPr>
      <w:r>
        <w:rPr>
          <w:rFonts w:cs="Arial" w:ascii="Arial" w:hAnsi="Arial"/>
        </w:rPr>
        <w:t>You may choose to include further statements where relevant about:</w:t>
      </w:r>
    </w:p>
    <w:tbl>
      <w:tblPr>
        <w:tblStyle w:val="TableGrid"/>
        <w:tblW w:w="9242" w:type="dxa"/>
        <w:jc w:val="left"/>
        <w:tblInd w:w="113" w:type="dxa"/>
        <w:tblLayout w:type="fixed"/>
        <w:tblCellMar>
          <w:top w:w="0" w:type="dxa"/>
          <w:left w:w="108" w:type="dxa"/>
          <w:bottom w:w="0" w:type="dxa"/>
          <w:right w:w="108" w:type="dxa"/>
        </w:tblCellMar>
        <w:tblLook w:val="04a0"/>
      </w:tblPr>
      <w:tblGrid>
        <w:gridCol w:w="3080"/>
        <w:gridCol w:w="6162"/>
      </w:tblGrid>
      <w:tr>
        <w:trPr/>
        <w:tc>
          <w:tcPr>
            <w:tcW w:w="3080"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Policies and procedures adopted for the induction and training of trustees</w:t>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62" w:type="dxa"/>
            <w:tcBorders/>
          </w:tcPr>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Each trustee is given the Trust Deeds and CC3 “The Essential Trustee What You Need To Know and What You Need To Do”.</w:t>
            </w:r>
          </w:p>
        </w:tc>
      </w:tr>
      <w:tr>
        <w:trPr/>
        <w:tc>
          <w:tcPr>
            <w:tcW w:w="3080"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The charity’s organisational structure and any wider network with which the charity works</w:t>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62" w:type="dxa"/>
            <w:tcBorders/>
          </w:tcPr>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sz w:val="16"/>
                <w:szCs w:val="16"/>
              </w:rPr>
            </w:pPr>
            <w:r>
              <w:rPr>
                <w:rFonts w:cs="Arial" w:ascii="Arial" w:hAnsi="Arial"/>
                <w:sz w:val="16"/>
                <w:szCs w:val="16"/>
              </w:rPr>
            </w:r>
          </w:p>
          <w:p>
            <w:pPr>
              <w:pStyle w:val="Normal"/>
              <w:widowControl/>
              <w:suppressAutoHyphens w:val="true"/>
              <w:spacing w:lineRule="auto" w:line="240" w:before="0" w:after="0"/>
              <w:jc w:val="left"/>
              <w:rPr>
                <w:rFonts w:ascii="Arial" w:hAnsi="Arial" w:cs="Arial"/>
                <w:b/>
              </w:rPr>
            </w:pPr>
            <w:r>
              <w:rPr>
                <w:rFonts w:eastAsia="Calibri" w:cs="Arial" w:ascii="Arial" w:hAnsi="Arial"/>
                <w:b/>
                <w:kern w:val="0"/>
                <w:sz w:val="22"/>
                <w:szCs w:val="22"/>
                <w:lang w:val="en-GB" w:eastAsia="en-US" w:bidi="ar-SA"/>
              </w:rPr>
              <w:t>The committee members, Chair, Vice-chair, Treasurer, Booking Secretary, Secretary are elected at the AGM.</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8"/>
          <w:szCs w:val="28"/>
        </w:rPr>
      </w:pPr>
      <w:r>
        <w:rPr>
          <w:rFonts w:cs="Arial" w:ascii="Arial" w:hAnsi="Arial"/>
          <w:b/>
          <w:sz w:val="28"/>
          <w:szCs w:val="28"/>
        </w:rPr>
        <w:t>Reference and Administrative details</w:t>
      </w:r>
    </w:p>
    <w:p>
      <w:pPr>
        <w:pStyle w:val="Normal"/>
        <w:spacing w:lineRule="auto" w:line="240" w:before="0" w:after="0"/>
        <w:rPr>
          <w:rFonts w:ascii="Arial" w:hAnsi="Arial" w:cs="Arial"/>
          <w:b/>
        </w:rPr>
      </w:pPr>
      <w:r>
        <w:rPr>
          <w:rFonts w:cs="Arial" w:ascii="Arial" w:hAnsi="Arial"/>
          <w:b/>
        </w:rPr>
      </w:r>
    </w:p>
    <w:tbl>
      <w:tblPr>
        <w:tblStyle w:val="TableGrid"/>
        <w:tblW w:w="9322" w:type="dxa"/>
        <w:jc w:val="left"/>
        <w:tblInd w:w="113" w:type="dxa"/>
        <w:tblLayout w:type="fixed"/>
        <w:tblCellMar>
          <w:top w:w="0" w:type="dxa"/>
          <w:left w:w="108" w:type="dxa"/>
          <w:bottom w:w="0" w:type="dxa"/>
          <w:right w:w="108" w:type="dxa"/>
        </w:tblCellMar>
        <w:tblLook w:val="04a0"/>
      </w:tblPr>
      <w:tblGrid>
        <w:gridCol w:w="3079"/>
        <w:gridCol w:w="6243"/>
      </w:tblGrid>
      <w:tr>
        <w:trPr/>
        <w:tc>
          <w:tcPr>
            <w:tcW w:w="3079"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Charity name</w:t>
            </w:r>
          </w:p>
        </w:tc>
        <w:tc>
          <w:tcPr>
            <w:tcW w:w="6243"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Carey Hut Charitable Trust</w:t>
            </w:r>
          </w:p>
        </w:tc>
      </w:tr>
      <w:tr>
        <w:trPr/>
        <w:tc>
          <w:tcPr>
            <w:tcW w:w="3079"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Other name the charity uses</w:t>
            </w:r>
          </w:p>
        </w:tc>
        <w:tc>
          <w:tcPr>
            <w:tcW w:w="6243"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tc>
      </w:tr>
      <w:tr>
        <w:trPr/>
        <w:tc>
          <w:tcPr>
            <w:tcW w:w="3079"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Registered charity number</w:t>
            </w:r>
          </w:p>
        </w:tc>
        <w:tc>
          <w:tcPr>
            <w:tcW w:w="6243"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1000278</w:t>
            </w:r>
          </w:p>
        </w:tc>
      </w:tr>
      <w:tr>
        <w:trPr>
          <w:trHeight w:val="1231" w:hRule="atLeast"/>
        </w:trPr>
        <w:tc>
          <w:tcPr>
            <w:tcW w:w="3079"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Charity’s principal address</w:t>
            </w:r>
          </w:p>
        </w:tc>
        <w:tc>
          <w:tcPr>
            <w:tcW w:w="6243"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Carey Hall</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Mistover Road</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Wareham</w:t>
            </w:r>
          </w:p>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BH20 4BY</w:t>
            </w:r>
          </w:p>
        </w:tc>
      </w:tr>
      <w:tr>
        <w:trPr/>
        <w:tc>
          <w:tcPr>
            <w:tcW w:w="3079"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6243"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bl>
    <w:p>
      <w:pPr>
        <w:pStyle w:val="Normal"/>
        <w:spacing w:lineRule="auto" w:line="240" w:before="0" w:after="0"/>
        <w:rPr>
          <w:rFonts w:ascii="Arial" w:hAnsi="Arial" w:cs="Arial"/>
          <w:b/>
        </w:rPr>
      </w:pPr>
      <w:r>
        <w:rPr>
          <w:rFonts w:cs="Arial" w:ascii="Arial" w:hAnsi="Arial"/>
          <w:b/>
        </w:rPr>
      </w:r>
    </w:p>
    <w:p>
      <w:pPr>
        <w:pStyle w:val="Normal"/>
        <w:rPr/>
      </w:pPr>
      <w:r>
        <w:rPr/>
      </w:r>
      <w:r>
        <w:br w:type="page"/>
      </w:r>
    </w:p>
    <w:tbl>
      <w:tblPr>
        <w:tblW w:w="11476" w:type="dxa"/>
        <w:jc w:val="center"/>
        <w:tblInd w:w="0" w:type="dxa"/>
        <w:tblLayout w:type="fixed"/>
        <w:tblCellMar>
          <w:top w:w="0" w:type="dxa"/>
          <w:left w:w="107" w:type="dxa"/>
          <w:bottom w:w="0" w:type="dxa"/>
          <w:right w:w="107" w:type="dxa"/>
        </w:tblCellMar>
        <w:tblLook w:val="0000"/>
      </w:tblPr>
      <w:tblGrid>
        <w:gridCol w:w="555"/>
        <w:gridCol w:w="131"/>
        <w:gridCol w:w="575"/>
        <w:gridCol w:w="2125"/>
        <w:gridCol w:w="2275"/>
        <w:gridCol w:w="2692"/>
        <w:gridCol w:w="2403"/>
        <w:gridCol w:w="720"/>
      </w:tblGrid>
      <w:tr>
        <w:trPr/>
        <w:tc>
          <w:tcPr>
            <w:tcW w:w="555" w:type="dxa"/>
            <w:tcBorders/>
          </w:tcPr>
          <w:p>
            <w:pPr>
              <w:pStyle w:val="Normal"/>
              <w:pageBreakBefore/>
              <w:spacing w:lineRule="auto" w:line="240" w:before="0" w:after="120"/>
              <w:rPr>
                <w:rFonts w:ascii="Arial" w:hAnsi="Arial" w:eastAsia="Times New Roman" w:cs="Arial"/>
                <w:b/>
                <w:szCs w:val="20"/>
                <w:lang w:eastAsia="en-GB"/>
              </w:rPr>
            </w:pPr>
            <w:r>
              <w:rPr>
                <w:rFonts w:eastAsia="Times New Roman" w:cs="Arial" w:ascii="Arial" w:hAnsi="Arial"/>
                <w:b/>
                <w:szCs w:val="20"/>
                <w:lang w:eastAsia="en-GB"/>
              </w:rPr>
            </w:r>
          </w:p>
        </w:tc>
        <w:tc>
          <w:tcPr>
            <w:tcW w:w="10201" w:type="dxa"/>
            <w:gridSpan w:val="6"/>
            <w:tcBorders/>
            <w:vAlign w:val="center"/>
          </w:tcPr>
          <w:p>
            <w:pPr>
              <w:pStyle w:val="Normal"/>
              <w:tabs>
                <w:tab w:val="clear" w:pos="720"/>
                <w:tab w:val="left" w:pos="402" w:leader="none"/>
              </w:tabs>
              <w:spacing w:lineRule="auto" w:line="240" w:before="120" w:after="120"/>
              <w:rPr>
                <w:rFonts w:ascii="Arial" w:hAnsi="Arial" w:eastAsia="Times New Roman" w:cs="Arial"/>
                <w:szCs w:val="20"/>
                <w:lang w:eastAsia="en-GB"/>
              </w:rPr>
            </w:pPr>
            <w:r>
              <w:rPr>
                <w:rFonts w:eastAsia="Times New Roman" w:cs="Arial" w:ascii="Arial" w:hAnsi="Arial"/>
                <w:b/>
                <w:lang w:eastAsia="en-GB"/>
              </w:rPr>
              <w:t>Names of the charity trustees who manage the charity</w:t>
            </w:r>
          </w:p>
        </w:tc>
        <w:tc>
          <w:tcPr>
            <w:tcW w:w="720" w:type="dxa"/>
            <w:tcBorders/>
          </w:tcPr>
          <w:p>
            <w:pPr>
              <w:pStyle w:val="Normal"/>
              <w:widowControl/>
              <w:bidi w:val="0"/>
              <w:spacing w:lineRule="auto" w:line="276" w:before="0" w:after="200"/>
              <w:jc w:val="left"/>
              <w:rPr/>
            </w:pPr>
            <w:r>
              <w:rPr/>
            </w:r>
          </w:p>
        </w:tc>
      </w:tr>
      <w:tr>
        <w:trPr>
          <w:cantSplit/>
        </w:trPr>
        <w:tc>
          <w:tcPr>
            <w:tcW w:w="555" w:type="dxa"/>
            <w:tcBorders/>
          </w:tcPr>
          <w:p>
            <w:pPr>
              <w:pStyle w:val="Normal"/>
              <w:numPr>
                <w:ilvl w:val="0"/>
                <w:numId w:val="0"/>
              </w:numPr>
              <w:spacing w:lineRule="auto" w:line="240" w:before="0" w:after="0"/>
              <w:ind w:hanging="0" w:left="0"/>
              <w:rPr>
                <w:rFonts w:ascii="Arial" w:hAnsi="Arial" w:eastAsia="Times New Roman" w:cs="Arial"/>
                <w:b/>
                <w:sz w:val="18"/>
                <w:szCs w:val="18"/>
                <w:lang w:eastAsia="en-GB"/>
              </w:rPr>
            </w:pPr>
            <w:r>
              <w:rPr>
                <w:rFonts w:eastAsia="Times New Roman" w:cs="Arial" w:ascii="Arial" w:hAnsi="Arial"/>
                <w:b/>
                <w:sz w:val="18"/>
                <w:szCs w:val="18"/>
                <w:lang w:eastAsia="en-GB"/>
              </w:rPr>
            </w:r>
          </w:p>
        </w:tc>
        <w:tc>
          <w:tcPr>
            <w:tcW w:w="131" w:type="dxa"/>
            <w:tcBorders/>
          </w:tcPr>
          <w:p>
            <w:pPr>
              <w:pStyle w:val="Normal"/>
              <w:numPr>
                <w:ilvl w:val="0"/>
                <w:numId w:val="0"/>
              </w:numPr>
              <w:spacing w:lineRule="auto" w:line="240" w:before="0" w:after="0"/>
              <w:ind w:hanging="0" w:left="0"/>
              <w:rPr>
                <w:rFonts w:ascii="Arial" w:hAnsi="Arial" w:eastAsia="Times New Roman" w:cs="Arial"/>
                <w:b/>
                <w:sz w:val="18"/>
                <w:szCs w:val="18"/>
                <w:lang w:eastAsia="en-GB"/>
              </w:rPr>
            </w:pPr>
            <w:r>
              <w:rPr>
                <w:rFonts w:eastAsia="Times New Roman" w:cs="Arial" w:ascii="Arial" w:hAnsi="Arial"/>
                <w:b/>
                <w:sz w:val="18"/>
                <w:szCs w:val="18"/>
                <w:lang w:eastAsia="en-GB"/>
              </w:rPr>
            </w:r>
          </w:p>
        </w:tc>
        <w:tc>
          <w:tcPr>
            <w:tcW w:w="575" w:type="dxa"/>
            <w:tcBorders>
              <w:right w:val="single" w:sz="6" w:space="0" w:color="000000"/>
            </w:tcBorders>
            <w:vAlign w:val="center"/>
          </w:tcPr>
          <w:p>
            <w:pPr>
              <w:pStyle w:val="Normal"/>
              <w:numPr>
                <w:ilvl w:val="0"/>
                <w:numId w:val="0"/>
              </w:numPr>
              <w:spacing w:lineRule="auto" w:line="240" w:before="0" w:after="0"/>
              <w:ind w:hanging="0" w:left="0"/>
              <w:rPr>
                <w:rFonts w:ascii="Arial" w:hAnsi="Arial" w:eastAsia="Times New Roman" w:cs="Arial"/>
                <w:b/>
                <w:sz w:val="18"/>
                <w:szCs w:val="18"/>
                <w:lang w:eastAsia="en-GB"/>
              </w:rPr>
            </w:pPr>
            <w:r>
              <w:rPr>
                <w:rFonts w:eastAsia="Times New Roman" w:cs="Arial" w:ascii="Arial" w:hAnsi="Arial"/>
                <w:b/>
                <w:sz w:val="18"/>
                <w:szCs w:val="18"/>
                <w:lang w:eastAsia="en-GB"/>
              </w:rPr>
            </w:r>
          </w:p>
        </w:tc>
        <w:tc>
          <w:tcPr>
            <w:tcW w:w="2125" w:type="dxa"/>
            <w:tcBorders>
              <w:top w:val="single" w:sz="6" w:space="0" w:color="000000"/>
              <w:left w:val="single" w:sz="6" w:space="0" w:color="000000"/>
              <w:bottom w:val="single" w:sz="6" w:space="0" w:color="000000"/>
              <w:right w:val="single" w:sz="6" w:space="0" w:color="000000"/>
            </w:tcBorders>
            <w:vAlign w:val="center"/>
          </w:tcPr>
          <w:p>
            <w:pPr>
              <w:pStyle w:val="Normal"/>
              <w:numPr>
                <w:ilvl w:val="0"/>
                <w:numId w:val="0"/>
              </w:numPr>
              <w:spacing w:lineRule="auto" w:line="240" w:before="0" w:after="0"/>
              <w:ind w:hanging="0" w:left="0"/>
              <w:rPr>
                <w:rFonts w:ascii="Arial" w:hAnsi="Arial" w:eastAsia="Times New Roman" w:cs="Arial"/>
                <w:b/>
                <w:sz w:val="18"/>
                <w:szCs w:val="18"/>
                <w:lang w:eastAsia="en-GB"/>
              </w:rPr>
            </w:pPr>
            <w:r>
              <w:rPr>
                <w:rFonts w:eastAsia="Times New Roman" w:cs="Arial" w:ascii="Arial" w:hAnsi="Arial"/>
                <w:b/>
                <w:sz w:val="18"/>
                <w:szCs w:val="18"/>
                <w:lang w:eastAsia="en-GB"/>
              </w:rPr>
              <w:t>Trustee name</w:t>
            </w:r>
          </w:p>
        </w:tc>
        <w:tc>
          <w:tcPr>
            <w:tcW w:w="2275" w:type="dxa"/>
            <w:tcBorders>
              <w:top w:val="single" w:sz="6" w:space="0" w:color="000000"/>
              <w:left w:val="single" w:sz="6" w:space="0" w:color="000000"/>
              <w:bottom w:val="single" w:sz="6" w:space="0" w:color="000000"/>
              <w:right w:val="single" w:sz="6" w:space="0" w:color="000000"/>
            </w:tcBorders>
            <w:vAlign w:val="center"/>
          </w:tcPr>
          <w:p>
            <w:pPr>
              <w:pStyle w:val="Normal"/>
              <w:numPr>
                <w:ilvl w:val="0"/>
                <w:numId w:val="0"/>
              </w:numPr>
              <w:spacing w:lineRule="auto" w:line="240" w:before="0" w:after="0"/>
              <w:ind w:hanging="0" w:left="0"/>
              <w:rPr>
                <w:rFonts w:ascii="Arial" w:hAnsi="Arial" w:eastAsia="Times New Roman" w:cs="Arial"/>
                <w:b/>
                <w:sz w:val="18"/>
                <w:szCs w:val="18"/>
                <w:lang w:eastAsia="en-GB"/>
              </w:rPr>
            </w:pPr>
            <w:r>
              <w:rPr>
                <w:rFonts w:eastAsia="Times New Roman" w:cs="Arial" w:ascii="Arial" w:hAnsi="Arial"/>
                <w:b/>
                <w:sz w:val="18"/>
                <w:szCs w:val="18"/>
                <w:lang w:eastAsia="en-GB"/>
              </w:rPr>
              <w:t>Office (if any)</w:t>
            </w:r>
          </w:p>
        </w:tc>
        <w:tc>
          <w:tcPr>
            <w:tcW w:w="2692" w:type="dxa"/>
            <w:tcBorders>
              <w:top w:val="single" w:sz="6" w:space="0" w:color="000000"/>
              <w:left w:val="single" w:sz="6" w:space="0" w:color="000000"/>
              <w:bottom w:val="single" w:sz="6" w:space="0" w:color="000000"/>
            </w:tcBorders>
            <w:vAlign w:val="center"/>
          </w:tcPr>
          <w:p>
            <w:pPr>
              <w:pStyle w:val="Normal"/>
              <w:numPr>
                <w:ilvl w:val="0"/>
                <w:numId w:val="0"/>
              </w:numPr>
              <w:spacing w:lineRule="auto" w:line="240" w:before="0" w:after="0"/>
              <w:ind w:hanging="0" w:left="0"/>
              <w:rPr>
                <w:rFonts w:ascii="Arial" w:hAnsi="Arial" w:eastAsia="Times New Roman" w:cs="Arial"/>
                <w:b/>
                <w:sz w:val="18"/>
                <w:szCs w:val="18"/>
                <w:lang w:eastAsia="en-GB"/>
              </w:rPr>
            </w:pPr>
            <w:r>
              <w:rPr>
                <w:rFonts w:eastAsia="Times New Roman" w:cs="Arial" w:ascii="Arial" w:hAnsi="Arial"/>
                <w:b/>
                <w:sz w:val="18"/>
                <w:szCs w:val="18"/>
                <w:lang w:eastAsia="en-GB"/>
              </w:rPr>
              <w:t>Dates acted if not for whole year</w:t>
            </w:r>
          </w:p>
        </w:tc>
        <w:tc>
          <w:tcPr>
            <w:tcW w:w="3123" w:type="dxa"/>
            <w:gridSpan w:val="2"/>
            <w:tcBorders>
              <w:top w:val="single" w:sz="6" w:space="0" w:color="000000"/>
              <w:left w:val="single" w:sz="6" w:space="0" w:color="000000"/>
              <w:bottom w:val="single" w:sz="6" w:space="0" w:color="000000"/>
              <w:right w:val="single" w:sz="6" w:space="0" w:color="000000"/>
            </w:tcBorders>
            <w:vAlign w:val="center"/>
          </w:tcPr>
          <w:p>
            <w:pPr>
              <w:pStyle w:val="Normal"/>
              <w:numPr>
                <w:ilvl w:val="0"/>
                <w:numId w:val="0"/>
              </w:numPr>
              <w:spacing w:lineRule="auto" w:line="240" w:before="0" w:after="0"/>
              <w:ind w:hanging="0" w:left="0"/>
              <w:rPr>
                <w:rFonts w:ascii="Arial" w:hAnsi="Arial" w:eastAsia="Times New Roman" w:cs="Arial"/>
                <w:b/>
                <w:sz w:val="18"/>
                <w:szCs w:val="18"/>
                <w:lang w:eastAsia="en-GB"/>
              </w:rPr>
            </w:pPr>
            <w:r>
              <w:rPr>
                <w:rFonts w:eastAsia="Times New Roman" w:cs="Arial" w:ascii="Arial" w:hAnsi="Arial"/>
                <w:b/>
                <w:sz w:val="18"/>
                <w:szCs w:val="18"/>
                <w:lang w:eastAsia="en-GB"/>
              </w:rPr>
              <w:t>Name of person (or body) entitled to appoint trustee (if any)</w:t>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t>1</w:t>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Marian Cotton</w:t>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Chair</w:t>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t>2</w:t>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Sue Reeves</w:t>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28.07.2025 -</w:t>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t>3</w:t>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Julie Bradshaw</w:t>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Secretary</w:t>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t>4</w:t>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Richard Weaver</w:t>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08.01.2026 –</w:t>
            </w:r>
          </w:p>
        </w:tc>
        <w:tc>
          <w:tcPr>
            <w:tcW w:w="3123" w:type="dxa"/>
            <w:gridSpan w:val="2"/>
            <w:tcBorders>
              <w:top w:val="single" w:sz="6" w:space="0" w:color="000000"/>
              <w:left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t>5</w:t>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Bev Tinson</w:t>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08.01.2026 – 23.02.2026</w:t>
            </w:r>
          </w:p>
        </w:tc>
        <w:tc>
          <w:tcPr>
            <w:tcW w:w="3123" w:type="dxa"/>
            <w:gridSpan w:val="2"/>
            <w:tcBorders>
              <w:top w:val="single" w:sz="6" w:space="0" w:color="000000"/>
              <w:left w:val="single" w:sz="6" w:space="0" w:color="000000"/>
              <w:bottom w:val="single" w:sz="4"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t>6</w:t>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Helen Geach</w:t>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Treasurer</w:t>
            </w:r>
          </w:p>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Booking Secretary</w:t>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t>- 13.09.2025</w:t>
            </w:r>
          </w:p>
        </w:tc>
        <w:tc>
          <w:tcPr>
            <w:tcW w:w="3123" w:type="dxa"/>
            <w:gridSpan w:val="2"/>
            <w:tcBorders>
              <w:left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r>
        <w:trPr>
          <w:cantSplit/>
        </w:trPr>
        <w:tc>
          <w:tcPr>
            <w:tcW w:w="555"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131" w:type="dxa"/>
            <w:tcBorders/>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575" w:type="dxa"/>
            <w:tcBorders>
              <w:right w:val="single" w:sz="6" w:space="0" w:color="000000"/>
            </w:tcBorders>
            <w:vAlign w:val="center"/>
          </w:tcPr>
          <w:p>
            <w:pPr>
              <w:pStyle w:val="Normal"/>
              <w:numPr>
                <w:ilvl w:val="0"/>
                <w:numId w:val="0"/>
              </w:numPr>
              <w:spacing w:lineRule="auto" w:line="240" w:before="40" w:after="40"/>
              <w:ind w:hanging="0" w:left="0"/>
              <w:jc w:val="right"/>
              <w:rPr>
                <w:rFonts w:ascii="Arial" w:hAnsi="Arial" w:eastAsia="Times New Roman" w:cs="Arial"/>
                <w:lang w:eastAsia="en-GB"/>
              </w:rPr>
            </w:pPr>
            <w:r>
              <w:rPr>
                <w:rFonts w:eastAsia="Times New Roman" w:cs="Arial" w:ascii="Arial" w:hAnsi="Arial"/>
                <w:lang w:eastAsia="en-GB"/>
              </w:rPr>
            </w:r>
          </w:p>
        </w:tc>
        <w:tc>
          <w:tcPr>
            <w:tcW w:w="2125" w:type="dxa"/>
            <w:tcBorders>
              <w:top w:val="single" w:sz="6" w:space="0" w:color="000000"/>
              <w:left w:val="single" w:sz="6" w:space="0" w:color="000000"/>
              <w:bottom w:val="single" w:sz="4"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275" w:type="dxa"/>
            <w:tcBorders>
              <w:top w:val="single" w:sz="6" w:space="0" w:color="000000"/>
              <w:left w:val="single" w:sz="6" w:space="0" w:color="000000"/>
              <w:bottom w:val="single" w:sz="4"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2692" w:type="dxa"/>
            <w:tcBorders>
              <w:top w:val="single" w:sz="6" w:space="0" w:color="000000"/>
              <w:left w:val="single" w:sz="6" w:space="0" w:color="000000"/>
              <w:bottom w:val="single" w:sz="4"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c>
          <w:tcPr>
            <w:tcW w:w="3123" w:type="dxa"/>
            <w:gridSpan w:val="2"/>
            <w:tcBorders>
              <w:top w:val="single" w:sz="6" w:space="0" w:color="000000"/>
              <w:left w:val="single" w:sz="6" w:space="0" w:color="000000"/>
              <w:bottom w:val="single" w:sz="4" w:space="0" w:color="000000"/>
              <w:right w:val="single" w:sz="6" w:space="0" w:color="000000"/>
            </w:tcBorders>
          </w:tcPr>
          <w:p>
            <w:pPr>
              <w:pStyle w:val="Normal"/>
              <w:numPr>
                <w:ilvl w:val="0"/>
                <w:numId w:val="0"/>
              </w:numPr>
              <w:spacing w:lineRule="auto" w:line="240" w:before="40" w:after="40"/>
              <w:ind w:hanging="0" w:left="0"/>
              <w:rPr>
                <w:rFonts w:ascii="Arial" w:hAnsi="Arial" w:eastAsia="Times New Roman" w:cs="Arial"/>
                <w:lang w:eastAsia="en-GB"/>
              </w:rPr>
            </w:pPr>
            <w:r>
              <w:rPr>
                <w:rFonts w:eastAsia="Times New Roman" w:cs="Arial" w:ascii="Arial" w:hAnsi="Arial"/>
                <w:lang w:eastAsia="en-GB"/>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rPr>
      </w:pPr>
      <w:r>
        <w:rPr>
          <w:rFonts w:cs="Arial" w:ascii="Arial" w:hAnsi="Arial"/>
        </w:rPr>
        <w:t>Corporate trustees – names of the directors at the date the report was approved</w:t>
      </w:r>
    </w:p>
    <w:tbl>
      <w:tblPr>
        <w:tblStyle w:val="TableGrid"/>
        <w:tblW w:w="9242" w:type="dxa"/>
        <w:jc w:val="left"/>
        <w:tblInd w:w="113" w:type="dxa"/>
        <w:tblLayout w:type="fixed"/>
        <w:tblCellMar>
          <w:top w:w="0" w:type="dxa"/>
          <w:left w:w="108" w:type="dxa"/>
          <w:bottom w:w="0" w:type="dxa"/>
          <w:right w:w="108" w:type="dxa"/>
        </w:tblCellMar>
        <w:tblLook w:val="04a0"/>
      </w:tblPr>
      <w:tblGrid>
        <w:gridCol w:w="3080"/>
        <w:gridCol w:w="3081"/>
        <w:gridCol w:w="3081"/>
      </w:tblGrid>
      <w:tr>
        <w:trPr/>
        <w:tc>
          <w:tcPr>
            <w:tcW w:w="3080" w:type="dxa"/>
            <w:tcBorders/>
          </w:tcPr>
          <w:p>
            <w:pPr>
              <w:pStyle w:val="Normal"/>
              <w:widowControl/>
              <w:suppressAutoHyphens w:val="true"/>
              <w:spacing w:lineRule="auto" w:line="240" w:before="0" w:after="0"/>
              <w:jc w:val="left"/>
              <w:rPr>
                <w:rFonts w:ascii="Arial" w:hAnsi="Arial" w:cs="Arial"/>
                <w:b/>
                <w:sz w:val="18"/>
                <w:szCs w:val="18"/>
              </w:rPr>
            </w:pPr>
            <w:r>
              <w:rPr>
                <w:rFonts w:eastAsia="Calibri" w:cs="Arial" w:ascii="Arial" w:hAnsi="Arial"/>
                <w:b/>
                <w:kern w:val="0"/>
                <w:sz w:val="18"/>
                <w:szCs w:val="18"/>
                <w:lang w:val="en-GB" w:eastAsia="en-US" w:bidi="ar-SA"/>
              </w:rPr>
              <w:t>Director name</w:t>
            </w:r>
          </w:p>
        </w:tc>
        <w:tc>
          <w:tcPr>
            <w:tcW w:w="3081"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rPr>
      </w:pPr>
      <w:r>
        <w:rPr>
          <w:rFonts w:cs="Arial" w:ascii="Arial" w:hAnsi="Arial"/>
        </w:rPr>
        <w:t>Name of trustees holding title to property belonging to the charity</w:t>
      </w:r>
    </w:p>
    <w:p>
      <w:pPr>
        <w:pStyle w:val="Normal"/>
        <w:spacing w:lineRule="auto" w:line="240" w:before="0" w:after="0"/>
        <w:rPr>
          <w:rFonts w:ascii="Arial" w:hAnsi="Arial" w:cs="Arial"/>
          <w:sz w:val="18"/>
          <w:szCs w:val="18"/>
        </w:rPr>
      </w:pPr>
      <w:r>
        <w:rPr>
          <w:rFonts w:cs="Arial" w:ascii="Arial" w:hAnsi="Arial"/>
          <w:sz w:val="18"/>
          <w:szCs w:val="18"/>
        </w:rPr>
      </w:r>
    </w:p>
    <w:tbl>
      <w:tblPr>
        <w:tblStyle w:val="TableGrid"/>
        <w:tblW w:w="9242" w:type="dxa"/>
        <w:jc w:val="left"/>
        <w:tblInd w:w="113" w:type="dxa"/>
        <w:tblLayout w:type="fixed"/>
        <w:tblCellMar>
          <w:top w:w="0" w:type="dxa"/>
          <w:left w:w="108" w:type="dxa"/>
          <w:bottom w:w="0" w:type="dxa"/>
          <w:right w:w="108" w:type="dxa"/>
        </w:tblCellMar>
        <w:tblLook w:val="04a0"/>
      </w:tblPr>
      <w:tblGrid>
        <w:gridCol w:w="3080"/>
        <w:gridCol w:w="3081"/>
        <w:gridCol w:w="3081"/>
      </w:tblGrid>
      <w:tr>
        <w:trPr/>
        <w:tc>
          <w:tcPr>
            <w:tcW w:w="3080" w:type="dxa"/>
            <w:tcBorders/>
          </w:tcPr>
          <w:p>
            <w:pPr>
              <w:pStyle w:val="Normal"/>
              <w:widowControl/>
              <w:suppressAutoHyphens w:val="true"/>
              <w:spacing w:lineRule="auto" w:line="240" w:before="0" w:after="0"/>
              <w:jc w:val="left"/>
              <w:rPr>
                <w:rFonts w:ascii="Arial" w:hAnsi="Arial" w:cs="Arial"/>
                <w:b/>
                <w:sz w:val="18"/>
                <w:szCs w:val="18"/>
              </w:rPr>
            </w:pPr>
            <w:r>
              <w:rPr>
                <w:rFonts w:eastAsia="Calibri" w:cs="Arial" w:ascii="Arial" w:hAnsi="Arial"/>
                <w:b/>
                <w:kern w:val="0"/>
                <w:sz w:val="18"/>
                <w:szCs w:val="18"/>
                <w:lang w:val="en-GB" w:eastAsia="en-US" w:bidi="ar-SA"/>
              </w:rPr>
              <w:t>Trustee name</w:t>
            </w:r>
          </w:p>
        </w:tc>
        <w:tc>
          <w:tcPr>
            <w:tcW w:w="3081" w:type="dxa"/>
            <w:tcBorders/>
          </w:tcPr>
          <w:p>
            <w:pPr>
              <w:pStyle w:val="Normal"/>
              <w:widowControl/>
              <w:suppressAutoHyphens w:val="true"/>
              <w:spacing w:lineRule="auto" w:line="240" w:before="0" w:after="0"/>
              <w:jc w:val="left"/>
              <w:rPr>
                <w:rFonts w:ascii="Arial" w:hAnsi="Arial" w:cs="Arial"/>
                <w:b/>
                <w:sz w:val="18"/>
                <w:szCs w:val="18"/>
              </w:rPr>
            </w:pPr>
            <w:r>
              <w:rPr>
                <w:rFonts w:eastAsia="Calibri" w:cs="Arial" w:ascii="Arial" w:hAnsi="Arial"/>
                <w:b/>
                <w:kern w:val="0"/>
                <w:sz w:val="18"/>
                <w:szCs w:val="18"/>
                <w:lang w:val="en-GB" w:eastAsia="en-US" w:bidi="ar-SA"/>
              </w:rPr>
              <w:t>Dates acted if not for whole year</w:t>
            </w:r>
          </w:p>
        </w:tc>
        <w:tc>
          <w:tcPr>
            <w:tcW w:w="3081" w:type="dxa"/>
            <w:tcBorders/>
          </w:tcPr>
          <w:p>
            <w:pPr>
              <w:pStyle w:val="Normal"/>
              <w:widowControl/>
              <w:suppressAutoHyphens w:val="true"/>
              <w:spacing w:lineRule="auto" w:line="240" w:before="0" w:after="0"/>
              <w:jc w:val="left"/>
              <w:rPr>
                <w:rFonts w:ascii="Arial" w:hAnsi="Arial" w:cs="Arial"/>
                <w:sz w:val="18"/>
                <w:szCs w:val="18"/>
              </w:rPr>
            </w:pPr>
            <w:r>
              <w:rPr>
                <w:rFonts w:cs="Arial" w:ascii="Arial" w:hAnsi="Arial"/>
                <w:sz w:val="18"/>
                <w:szCs w:val="18"/>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3081"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rPr>
      </w:pPr>
      <w:r>
        <w:rPr>
          <w:rFonts w:cs="Arial" w:ascii="Arial" w:hAnsi="Arial"/>
        </w:rPr>
        <w:t>Name of trustees receiving a payment from the charity</w:t>
      </w:r>
    </w:p>
    <w:p>
      <w:pPr>
        <w:pStyle w:val="Normal"/>
        <w:spacing w:lineRule="auto" w:line="240" w:before="0" w:after="0"/>
        <w:rPr>
          <w:rFonts w:ascii="Arial" w:hAnsi="Arial" w:cs="Arial"/>
          <w:sz w:val="18"/>
          <w:szCs w:val="18"/>
        </w:rPr>
      </w:pPr>
      <w:r>
        <w:rPr>
          <w:rFonts w:cs="Arial" w:ascii="Arial" w:hAnsi="Arial"/>
          <w:sz w:val="18"/>
          <w:szCs w:val="18"/>
        </w:rPr>
      </w:r>
    </w:p>
    <w:tbl>
      <w:tblPr>
        <w:tblStyle w:val="TableGrid"/>
        <w:tblW w:w="9240" w:type="dxa"/>
        <w:jc w:val="left"/>
        <w:tblInd w:w="113" w:type="dxa"/>
        <w:tblLayout w:type="fixed"/>
        <w:tblCellMar>
          <w:top w:w="0" w:type="dxa"/>
          <w:left w:w="108" w:type="dxa"/>
          <w:bottom w:w="0" w:type="dxa"/>
          <w:right w:w="108" w:type="dxa"/>
        </w:tblCellMar>
        <w:tblLook w:val="04a0"/>
      </w:tblPr>
      <w:tblGrid>
        <w:gridCol w:w="3080"/>
        <w:gridCol w:w="1453"/>
        <w:gridCol w:w="4707"/>
      </w:tblGrid>
      <w:tr>
        <w:trPr/>
        <w:tc>
          <w:tcPr>
            <w:tcW w:w="3080" w:type="dxa"/>
            <w:tcBorders/>
          </w:tcPr>
          <w:p>
            <w:pPr>
              <w:pStyle w:val="Normal"/>
              <w:widowControl/>
              <w:suppressAutoHyphens w:val="true"/>
              <w:spacing w:lineRule="auto" w:line="240" w:before="0" w:after="0"/>
              <w:jc w:val="left"/>
              <w:rPr>
                <w:rFonts w:ascii="Arial" w:hAnsi="Arial" w:cs="Arial"/>
                <w:b/>
                <w:sz w:val="18"/>
                <w:szCs w:val="18"/>
              </w:rPr>
            </w:pPr>
            <w:r>
              <w:rPr>
                <w:rFonts w:eastAsia="Calibri" w:cs="Arial" w:ascii="Arial" w:hAnsi="Arial"/>
                <w:b/>
                <w:kern w:val="0"/>
                <w:sz w:val="18"/>
                <w:szCs w:val="18"/>
                <w:lang w:val="en-GB" w:eastAsia="en-US" w:bidi="ar-SA"/>
              </w:rPr>
              <w:t>Trustee name</w:t>
            </w:r>
          </w:p>
        </w:tc>
        <w:tc>
          <w:tcPr>
            <w:tcW w:w="1453" w:type="dxa"/>
            <w:tcBorders/>
          </w:tcPr>
          <w:p>
            <w:pPr>
              <w:pStyle w:val="Normal"/>
              <w:widowControl/>
              <w:suppressAutoHyphens w:val="true"/>
              <w:spacing w:lineRule="auto" w:line="240" w:before="0" w:after="0"/>
              <w:jc w:val="left"/>
              <w:rPr>
                <w:rFonts w:ascii="Arial" w:hAnsi="Arial" w:cs="Arial"/>
                <w:b/>
                <w:sz w:val="18"/>
                <w:szCs w:val="18"/>
              </w:rPr>
            </w:pPr>
            <w:r>
              <w:rPr>
                <w:rFonts w:eastAsia="Calibri" w:cs="Arial" w:ascii="Arial" w:hAnsi="Arial"/>
                <w:b/>
                <w:kern w:val="0"/>
                <w:sz w:val="18"/>
                <w:szCs w:val="18"/>
                <w:lang w:val="en-GB" w:eastAsia="en-US" w:bidi="ar-SA"/>
              </w:rPr>
              <w:t>Amount</w:t>
            </w:r>
          </w:p>
        </w:tc>
        <w:tc>
          <w:tcPr>
            <w:tcW w:w="4707" w:type="dxa"/>
            <w:tcBorders/>
          </w:tcPr>
          <w:p>
            <w:pPr>
              <w:pStyle w:val="Normal"/>
              <w:widowControl/>
              <w:suppressAutoHyphens w:val="true"/>
              <w:spacing w:lineRule="auto" w:line="240" w:before="0" w:after="0"/>
              <w:jc w:val="left"/>
              <w:rPr>
                <w:rFonts w:ascii="Arial" w:hAnsi="Arial" w:cs="Arial"/>
                <w:sz w:val="18"/>
                <w:szCs w:val="18"/>
              </w:rPr>
            </w:pPr>
            <w:r>
              <w:rPr>
                <w:rFonts w:cs="Arial" w:ascii="Arial" w:hAnsi="Arial"/>
                <w:sz w:val="18"/>
                <w:szCs w:val="18"/>
              </w:rPr>
              <w:t>Reason for payment</w:t>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t>Julie Bradshaw</w:t>
            </w:r>
          </w:p>
        </w:tc>
        <w:tc>
          <w:tcPr>
            <w:tcW w:w="1453"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t>£27.98</w:t>
            </w:r>
          </w:p>
        </w:tc>
        <w:tc>
          <w:tcPr>
            <w:tcW w:w="4707" w:type="dxa"/>
            <w:tcBorders/>
          </w:tcPr>
          <w:p>
            <w:pPr>
              <w:pStyle w:val="Normal"/>
              <w:widowControl/>
              <w:suppressAutoHyphens w:val="true"/>
              <w:spacing w:lineRule="auto" w:line="240" w:before="0" w:after="0"/>
              <w:jc w:val="left"/>
              <w:rPr>
                <w:rFonts w:ascii="Arial" w:hAnsi="Arial" w:cs="Arial"/>
                <w:b w:val="false"/>
                <w:bCs w:val="false"/>
                <w:sz w:val="22"/>
              </w:rPr>
            </w:pPr>
            <w:r>
              <w:rPr>
                <w:rFonts w:cs="Arial" w:ascii="Arial" w:hAnsi="Arial"/>
                <w:b w:val="false"/>
                <w:bCs w:val="false"/>
                <w:sz w:val="22"/>
              </w:rPr>
              <w:t>Reimbursement for out of pocket expenses before Julie had bank account access</w:t>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t>Marian Cotton</w:t>
            </w:r>
          </w:p>
        </w:tc>
        <w:tc>
          <w:tcPr>
            <w:tcW w:w="1453"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t>£2,062.50</w:t>
            </w:r>
          </w:p>
        </w:tc>
        <w:tc>
          <w:tcPr>
            <w:tcW w:w="4707" w:type="dxa"/>
            <w:tcBorders/>
          </w:tcPr>
          <w:p>
            <w:pPr>
              <w:pStyle w:val="Normal"/>
              <w:widowControl/>
              <w:suppressAutoHyphens w:val="true"/>
              <w:spacing w:lineRule="auto" w:line="240" w:before="0" w:after="0"/>
              <w:jc w:val="left"/>
              <w:rPr>
                <w:rFonts w:ascii="Arial" w:hAnsi="Arial" w:cs="Arial"/>
                <w:b w:val="false"/>
                <w:bCs w:val="false"/>
                <w:sz w:val="22"/>
              </w:rPr>
            </w:pPr>
            <w:r>
              <w:rPr>
                <w:rFonts w:cs="Arial" w:ascii="Arial" w:hAnsi="Arial"/>
                <w:b w:val="false"/>
                <w:bCs w:val="false"/>
                <w:sz w:val="22"/>
              </w:rPr>
              <w:t>Total of monthly payments for cleaning</w:t>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1453"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4707"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r>
        <w:trPr/>
        <w:tc>
          <w:tcPr>
            <w:tcW w:w="3080"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1453"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c>
          <w:tcPr>
            <w:tcW w:w="4707" w:type="dxa"/>
            <w:tcBorders/>
          </w:tcPr>
          <w:p>
            <w:pPr>
              <w:pStyle w:val="Normal"/>
              <w:widowControl/>
              <w:suppressAutoHyphens w:val="true"/>
              <w:spacing w:lineRule="auto" w:line="240" w:before="0" w:after="0"/>
              <w:jc w:val="left"/>
              <w:rPr>
                <w:rFonts w:ascii="Arial" w:hAnsi="Arial" w:cs="Arial"/>
                <w:b/>
              </w:rPr>
            </w:pPr>
            <w:r>
              <w:rPr>
                <w:rFonts w:cs="Arial" w:ascii="Arial" w:hAnsi="Arial"/>
                <w:b/>
                <w:sz w:val="22"/>
              </w:rPr>
            </w:r>
          </w:p>
        </w:tc>
      </w:tr>
    </w:tbl>
    <w:p>
      <w:pPr>
        <w:pStyle w:val="Normal"/>
        <w:spacing w:lineRule="auto" w:line="240" w:before="0" w:after="0"/>
        <w:rPr>
          <w:rFonts w:ascii="Arial" w:hAnsi="Arial" w:cs="Arial"/>
          <w:b/>
        </w:rPr>
      </w:pPr>
      <w:r>
        <w:rPr>
          <w:rFonts w:cs="Arial" w:ascii="Arial" w:hAnsi="Arial"/>
          <w:b/>
        </w:rPr>
      </w:r>
    </w:p>
    <w:p>
      <w:pPr>
        <w:pStyle w:val="Normal"/>
        <w:rPr>
          <w:rFonts w:ascii="Arial" w:hAnsi="Arial" w:cs="Arial"/>
          <w:b/>
          <w:sz w:val="28"/>
          <w:szCs w:val="28"/>
        </w:rPr>
      </w:pPr>
      <w:r>
        <w:rPr>
          <w:rFonts w:cs="Arial" w:ascii="Arial" w:hAnsi="Arial"/>
          <w:b/>
          <w:sz w:val="28"/>
          <w:szCs w:val="28"/>
        </w:rPr>
      </w:r>
      <w:r>
        <w:br w:type="page"/>
      </w:r>
    </w:p>
    <w:p>
      <w:pPr>
        <w:pStyle w:val="Normal"/>
        <w:spacing w:lineRule="auto" w:line="240" w:before="0" w:after="0"/>
        <w:rPr>
          <w:rFonts w:ascii="Arial" w:hAnsi="Arial" w:cs="Arial"/>
          <w:b/>
          <w:sz w:val="28"/>
          <w:szCs w:val="28"/>
        </w:rPr>
      </w:pPr>
      <w:r>
        <w:rPr>
          <w:rFonts w:cs="Arial" w:ascii="Arial" w:hAnsi="Arial"/>
          <w:b/>
          <w:sz w:val="28"/>
          <w:szCs w:val="28"/>
        </w:rPr>
        <w:t>Funds held as custodian trustees on behalf of others</w:t>
      </w:r>
    </w:p>
    <w:tbl>
      <w:tblPr>
        <w:tblStyle w:val="TableGrid"/>
        <w:tblW w:w="9180" w:type="dxa"/>
        <w:jc w:val="left"/>
        <w:tblInd w:w="113" w:type="dxa"/>
        <w:tblLayout w:type="fixed"/>
        <w:tblCellMar>
          <w:top w:w="0" w:type="dxa"/>
          <w:left w:w="108" w:type="dxa"/>
          <w:bottom w:w="0" w:type="dxa"/>
          <w:right w:w="108" w:type="dxa"/>
        </w:tblCellMar>
        <w:tblLook w:val="04a0"/>
      </w:tblPr>
      <w:tblGrid>
        <w:gridCol w:w="3078"/>
        <w:gridCol w:w="6102"/>
      </w:tblGrid>
      <w:tr>
        <w:trPr/>
        <w:tc>
          <w:tcPr>
            <w:tcW w:w="3078"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Description of the assets held in this capacity</w:t>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02"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n/a</w:t>
            </w:r>
          </w:p>
        </w:tc>
      </w:tr>
      <w:tr>
        <w:trPr/>
        <w:tc>
          <w:tcPr>
            <w:tcW w:w="3078"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Name and objects of the charity on whose behalf the assets are held and how this falls within the custodian charity’s objects</w:t>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02"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tc>
      </w:tr>
      <w:tr>
        <w:trPr/>
        <w:tc>
          <w:tcPr>
            <w:tcW w:w="3078" w:type="dxa"/>
            <w:tcBorders/>
          </w:tcPr>
          <w:p>
            <w:pPr>
              <w:pStyle w:val="Normal"/>
              <w:widowControl/>
              <w:suppressAutoHyphens w:val="true"/>
              <w:spacing w:lineRule="auto" w:line="240" w:before="0" w:after="0"/>
              <w:jc w:val="left"/>
              <w:rPr>
                <w:rFonts w:ascii="Arial" w:hAnsi="Arial" w:cs="Arial"/>
              </w:rPr>
            </w:pPr>
            <w:r>
              <w:rPr>
                <w:rFonts w:eastAsia="Calibri" w:cs="Arial" w:ascii="Arial" w:hAnsi="Arial"/>
                <w:kern w:val="0"/>
                <w:sz w:val="22"/>
                <w:szCs w:val="22"/>
                <w:lang w:val="en-GB" w:eastAsia="en-US" w:bidi="ar-SA"/>
              </w:rPr>
              <w:t>Details of arrangements for safe custody and segregation of such assets from the charity’s own assets</w:t>
            </w:r>
          </w:p>
          <w:p>
            <w:pPr>
              <w:pStyle w:val="Normal"/>
              <w:widowControl/>
              <w:suppressAutoHyphens w:val="true"/>
              <w:spacing w:lineRule="auto" w:line="240" w:before="0" w:after="0"/>
              <w:jc w:val="left"/>
              <w:rPr>
                <w:rFonts w:ascii="Arial" w:hAnsi="Arial" w:cs="Arial"/>
              </w:rPr>
            </w:pPr>
            <w:r>
              <w:rPr>
                <w:rFonts w:cs="Arial" w:ascii="Arial" w:hAnsi="Arial"/>
                <w:sz w:val="22"/>
              </w:rPr>
            </w:r>
          </w:p>
          <w:p>
            <w:pPr>
              <w:pStyle w:val="Normal"/>
              <w:widowControl/>
              <w:suppressAutoHyphens w:val="true"/>
              <w:spacing w:lineRule="auto" w:line="240" w:before="0" w:after="0"/>
              <w:jc w:val="left"/>
              <w:rPr>
                <w:rFonts w:ascii="Arial" w:hAnsi="Arial" w:cs="Arial"/>
              </w:rPr>
            </w:pPr>
            <w:r>
              <w:rPr>
                <w:rFonts w:cs="Arial" w:ascii="Arial" w:hAnsi="Arial"/>
                <w:sz w:val="22"/>
              </w:rPr>
            </w:r>
          </w:p>
        </w:tc>
        <w:tc>
          <w:tcPr>
            <w:tcW w:w="6102" w:type="dxa"/>
            <w:tcBorders/>
          </w:tcPr>
          <w:p>
            <w:pPr>
              <w:pStyle w:val="Normal"/>
              <w:widowControl/>
              <w:suppressAutoHyphens w:val="true"/>
              <w:spacing w:lineRule="auto" w:line="240" w:before="0" w:after="0"/>
              <w:jc w:val="left"/>
              <w:rPr>
                <w:rFonts w:ascii="Arial" w:hAnsi="Arial" w:cs="Arial"/>
              </w:rPr>
            </w:pPr>
            <w:r>
              <w:rPr>
                <w:rFonts w:cs="Arial" w:ascii="Arial" w:hAnsi="Arial"/>
                <w:sz w:val="22"/>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Additional information (optional)</w:t>
      </w:r>
    </w:p>
    <w:tbl>
      <w:tblPr>
        <w:tblW w:w="10790" w:type="dxa"/>
        <w:jc w:val="center"/>
        <w:tblInd w:w="0" w:type="dxa"/>
        <w:tblLayout w:type="fixed"/>
        <w:tblCellMar>
          <w:top w:w="0" w:type="dxa"/>
          <w:left w:w="107" w:type="dxa"/>
          <w:bottom w:w="0" w:type="dxa"/>
          <w:right w:w="107" w:type="dxa"/>
        </w:tblCellMar>
        <w:tblLook w:val="0000"/>
      </w:tblPr>
      <w:tblGrid>
        <w:gridCol w:w="740"/>
        <w:gridCol w:w="2882"/>
        <w:gridCol w:w="1697"/>
        <w:gridCol w:w="4708"/>
        <w:gridCol w:w="763"/>
      </w:tblGrid>
      <w:tr>
        <w:trPr>
          <w:cantSplit/>
        </w:trPr>
        <w:tc>
          <w:tcPr>
            <w:tcW w:w="10790" w:type="dxa"/>
            <w:gridSpan w:val="5"/>
            <w:tcBorders/>
          </w:tcPr>
          <w:p>
            <w:pPr>
              <w:pStyle w:val="Normal"/>
              <w:numPr>
                <w:ilvl w:val="0"/>
                <w:numId w:val="0"/>
              </w:numPr>
              <w:spacing w:lineRule="auto" w:line="240" w:before="120" w:after="120"/>
              <w:ind w:hanging="0" w:left="0"/>
              <w:rPr>
                <w:rFonts w:ascii="Arial" w:hAnsi="Arial" w:eastAsia="Times New Roman" w:cs="Arial"/>
                <w:b/>
                <w:lang w:eastAsia="en-GB"/>
              </w:rPr>
            </w:pPr>
            <w:r>
              <w:rPr>
                <w:rFonts w:eastAsia="Times New Roman" w:cs="Arial" w:ascii="Arial" w:hAnsi="Arial"/>
                <w:b/>
                <w:lang w:eastAsia="en-GB"/>
              </w:rPr>
              <w:t xml:space="preserve">          </w:t>
            </w:r>
            <w:r>
              <w:rPr>
                <w:rFonts w:eastAsia="Times New Roman" w:cs="Arial" w:ascii="Arial" w:hAnsi="Arial"/>
                <w:b/>
                <w:lang w:eastAsia="en-GB"/>
              </w:rPr>
              <w:t>Names and addresses of advisers (Optional information)</w:t>
            </w:r>
          </w:p>
        </w:tc>
      </w:tr>
      <w:tr>
        <w:trPr>
          <w:cantSplit/>
        </w:trPr>
        <w:tc>
          <w:tcPr>
            <w:tcW w:w="740" w:type="dxa"/>
            <w:tcBorders/>
          </w:tcPr>
          <w:p>
            <w:pPr>
              <w:pStyle w:val="Normal"/>
              <w:keepNext w:val="true"/>
              <w:numPr>
                <w:ilvl w:val="0"/>
                <w:numId w:val="0"/>
              </w:numPr>
              <w:spacing w:lineRule="auto" w:line="240" w:before="0" w:after="0"/>
              <w:ind w:hanging="0" w:left="0"/>
              <w:outlineLvl w:val="2"/>
              <w:rPr>
                <w:rFonts w:ascii="Arial" w:hAnsi="Arial" w:eastAsia="Times New Roman" w:cs="Arial"/>
                <w:b/>
                <w:lang w:eastAsia="en-GB"/>
              </w:rPr>
            </w:pPr>
            <w:r>
              <w:rPr>
                <w:rFonts w:eastAsia="Times New Roman" w:cs="Arial" w:ascii="Arial" w:hAnsi="Arial"/>
                <w:b/>
                <w:lang w:eastAsia="en-GB"/>
              </w:rPr>
            </w:r>
          </w:p>
        </w:tc>
        <w:tc>
          <w:tcPr>
            <w:tcW w:w="2882" w:type="dxa"/>
            <w:tcBorders>
              <w:bottom w:val="single" w:sz="4" w:space="0" w:color="000000"/>
            </w:tcBorders>
          </w:tcPr>
          <w:p>
            <w:pPr>
              <w:pStyle w:val="Normal"/>
              <w:numPr>
                <w:ilvl w:val="0"/>
                <w:numId w:val="0"/>
              </w:numPr>
              <w:spacing w:lineRule="auto" w:line="240" w:before="0" w:after="0"/>
              <w:ind w:hanging="0" w:left="0"/>
              <w:outlineLvl w:val="2"/>
              <w:rPr>
                <w:rFonts w:ascii="Arial" w:hAnsi="Arial" w:eastAsia="Times New Roman" w:cs="Arial"/>
                <w:b/>
                <w:lang w:eastAsia="en-GB"/>
              </w:rPr>
            </w:pPr>
            <w:r>
              <w:rPr>
                <w:rFonts w:eastAsia="Times New Roman" w:cs="Arial" w:ascii="Arial" w:hAnsi="Arial"/>
                <w:b/>
                <w:lang w:eastAsia="en-GB"/>
              </w:rPr>
              <w:t>Type of adviser</w:t>
            </w:r>
          </w:p>
        </w:tc>
        <w:tc>
          <w:tcPr>
            <w:tcW w:w="1697" w:type="dxa"/>
            <w:tcBorders>
              <w:bottom w:val="single" w:sz="4" w:space="0" w:color="000000"/>
            </w:tcBorders>
          </w:tcPr>
          <w:p>
            <w:pPr>
              <w:pStyle w:val="Normal"/>
              <w:spacing w:lineRule="auto" w:line="240" w:before="0" w:after="0"/>
              <w:rPr>
                <w:rFonts w:ascii="Arial" w:hAnsi="Arial" w:eastAsia="Times New Roman" w:cs="Arial"/>
                <w:b/>
                <w:lang w:eastAsia="en-GB"/>
              </w:rPr>
            </w:pPr>
            <w:r>
              <w:rPr>
                <w:rFonts w:eastAsia="Times New Roman" w:cs="Arial" w:ascii="Arial" w:hAnsi="Arial"/>
                <w:b/>
                <w:lang w:eastAsia="en-GB"/>
              </w:rPr>
              <w:t>Name</w:t>
            </w:r>
          </w:p>
        </w:tc>
        <w:tc>
          <w:tcPr>
            <w:tcW w:w="4708" w:type="dxa"/>
            <w:tcBorders>
              <w:bottom w:val="single" w:sz="4" w:space="0" w:color="000000"/>
            </w:tcBorders>
          </w:tcPr>
          <w:p>
            <w:pPr>
              <w:pStyle w:val="Normal"/>
              <w:spacing w:lineRule="auto" w:line="240" w:before="0" w:after="0"/>
              <w:rPr>
                <w:rFonts w:ascii="Arial" w:hAnsi="Arial" w:eastAsia="Times New Roman" w:cs="Arial"/>
                <w:b/>
                <w:lang w:eastAsia="en-GB"/>
              </w:rPr>
            </w:pPr>
            <w:r>
              <w:rPr>
                <w:rFonts w:eastAsia="Times New Roman" w:cs="Arial" w:ascii="Arial" w:hAnsi="Arial"/>
                <w:b/>
                <w:lang w:eastAsia="en-GB"/>
              </w:rPr>
              <w:t>Address</w:t>
            </w:r>
          </w:p>
        </w:tc>
        <w:tc>
          <w:tcPr>
            <w:tcW w:w="763" w:type="dxa"/>
            <w:tcBorders/>
          </w:tcPr>
          <w:p>
            <w:pPr>
              <w:pStyle w:val="Normal"/>
              <w:widowControl/>
              <w:bidi w:val="0"/>
              <w:spacing w:lineRule="auto" w:line="276" w:before="0" w:after="200"/>
              <w:jc w:val="left"/>
              <w:rPr/>
            </w:pPr>
            <w:r>
              <w:rPr/>
            </w:r>
          </w:p>
        </w:tc>
      </w:tr>
      <w:tr>
        <w:trPr>
          <w:cantSplit/>
        </w:trPr>
        <w:tc>
          <w:tcPr>
            <w:tcW w:w="740" w:type="dxa"/>
            <w:tcBorders/>
          </w:tcPr>
          <w:p>
            <w:pPr>
              <w:pStyle w:val="Normal"/>
              <w:keepNext w:val="true"/>
              <w:numPr>
                <w:ilvl w:val="0"/>
                <w:numId w:val="0"/>
              </w:numPr>
              <w:spacing w:lineRule="auto" w:line="240" w:before="60" w:after="60"/>
              <w:ind w:hanging="0" w:left="0"/>
              <w:outlineLvl w:val="2"/>
              <w:rPr>
                <w:rFonts w:ascii="Arial" w:hAnsi="Arial" w:eastAsia="Times New Roman" w:cs="Arial"/>
                <w:b/>
                <w:lang w:eastAsia="en-GB"/>
              </w:rPr>
            </w:pPr>
            <w:r>
              <w:rPr>
                <w:rFonts w:eastAsia="Times New Roman" w:cs="Arial" w:ascii="Arial" w:hAnsi="Arial"/>
                <w:b/>
                <w:lang w:eastAsia="en-GB"/>
              </w:rPr>
            </w:r>
          </w:p>
        </w:tc>
        <w:tc>
          <w:tcPr>
            <w:tcW w:w="2882"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60" w:after="60"/>
              <w:ind w:hanging="0" w:left="0"/>
              <w:outlineLvl w:val="2"/>
              <w:rPr>
                <w:rFonts w:ascii="Arial" w:hAnsi="Arial" w:eastAsia="Times New Roman" w:cs="Arial"/>
                <w:b/>
                <w:lang w:eastAsia="en-GB"/>
              </w:rPr>
            </w:pPr>
            <w:r>
              <w:rPr>
                <w:rFonts w:eastAsia="Times New Roman" w:cs="Arial" w:ascii="Arial" w:hAnsi="Arial"/>
                <w:b/>
                <w:lang w:eastAsia="en-GB"/>
              </w:rPr>
              <w:t>Dorset Community Action</w:t>
            </w:r>
          </w:p>
        </w:tc>
        <w:tc>
          <w:tcPr>
            <w:tcW w:w="16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rFonts w:ascii="Arial" w:hAnsi="Arial" w:eastAsia="Times New Roman" w:cs="Arial"/>
                <w:szCs w:val="20"/>
                <w:lang w:eastAsia="en-GB"/>
              </w:rPr>
            </w:pPr>
            <w:r>
              <w:rPr>
                <w:rFonts w:eastAsia="Times New Roman" w:cs="Arial" w:ascii="Arial" w:hAnsi="Arial"/>
                <w:szCs w:val="20"/>
                <w:lang w:eastAsia="en-GB"/>
              </w:rPr>
              <w:t>Caro Hart</w:t>
            </w:r>
          </w:p>
        </w:tc>
        <w:tc>
          <w:tcPr>
            <w:tcW w:w="47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rFonts w:ascii="Arial" w:hAnsi="Arial" w:eastAsia="Times New Roman" w:cs="Arial"/>
                <w:color w:val="481D32"/>
                <w:sz w:val="22"/>
                <w:szCs w:val="22"/>
                <w:lang w:eastAsia="en-GB"/>
              </w:rPr>
            </w:pPr>
            <w:r>
              <w:rPr>
                <w:rFonts w:eastAsia="Times New Roman" w:cs="Arial" w:ascii="Arial" w:hAnsi="Arial"/>
                <w:b w:val="false"/>
                <w:i w:val="false"/>
                <w:caps w:val="false"/>
                <w:smallCaps w:val="false"/>
                <w:color w:val="481D32"/>
                <w:spacing w:val="0"/>
                <w:sz w:val="22"/>
                <w:szCs w:val="22"/>
                <w:lang w:eastAsia="en-GB"/>
              </w:rPr>
              <w:t>Caro.hart@dorsetcommunityaction.org.uk</w:t>
            </w:r>
          </w:p>
        </w:tc>
        <w:tc>
          <w:tcPr>
            <w:tcW w:w="763" w:type="dxa"/>
            <w:tcBorders/>
          </w:tcPr>
          <w:p>
            <w:pPr>
              <w:pStyle w:val="Normal"/>
              <w:widowControl/>
              <w:bidi w:val="0"/>
              <w:spacing w:lineRule="auto" w:line="276" w:before="0" w:after="200"/>
              <w:jc w:val="left"/>
              <w:rPr/>
            </w:pPr>
            <w:r>
              <w:rPr/>
            </w:r>
          </w:p>
        </w:tc>
      </w:tr>
      <w:tr>
        <w:trPr>
          <w:cantSplit/>
        </w:trPr>
        <w:tc>
          <w:tcPr>
            <w:tcW w:w="740" w:type="dxa"/>
            <w:tcBorders/>
          </w:tcPr>
          <w:p>
            <w:pPr>
              <w:pStyle w:val="Normal"/>
              <w:keepNext w:val="true"/>
              <w:numPr>
                <w:ilvl w:val="0"/>
                <w:numId w:val="0"/>
              </w:numPr>
              <w:spacing w:lineRule="auto" w:line="240" w:before="60" w:after="60"/>
              <w:ind w:hanging="0" w:left="0"/>
              <w:outlineLvl w:val="2"/>
              <w:rPr>
                <w:rFonts w:ascii="Arial" w:hAnsi="Arial" w:eastAsia="Times New Roman" w:cs="Arial"/>
                <w:b/>
                <w:lang w:eastAsia="en-GB"/>
              </w:rPr>
            </w:pPr>
            <w:r>
              <w:rPr>
                <w:rFonts w:eastAsia="Times New Roman" w:cs="Arial" w:ascii="Arial" w:hAnsi="Arial"/>
                <w:b/>
                <w:lang w:eastAsia="en-GB"/>
              </w:rPr>
            </w:r>
          </w:p>
        </w:tc>
        <w:tc>
          <w:tcPr>
            <w:tcW w:w="2882"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60" w:after="60"/>
              <w:ind w:hanging="0" w:left="0"/>
              <w:outlineLvl w:val="2"/>
              <w:rPr>
                <w:rFonts w:ascii="Arial" w:hAnsi="Arial" w:eastAsia="Times New Roman" w:cs="Arial"/>
                <w:b/>
                <w:lang w:eastAsia="en-GB"/>
              </w:rPr>
            </w:pPr>
            <w:r>
              <w:rPr>
                <w:rFonts w:eastAsia="Times New Roman" w:cs="Arial" w:ascii="Arial" w:hAnsi="Arial"/>
                <w:b/>
                <w:lang w:eastAsia="en-GB"/>
              </w:rPr>
            </w:r>
          </w:p>
        </w:tc>
        <w:tc>
          <w:tcPr>
            <w:tcW w:w="16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rFonts w:ascii="Arial" w:hAnsi="Arial" w:eastAsia="Times New Roman" w:cs="Arial"/>
                <w:szCs w:val="20"/>
                <w:lang w:eastAsia="en-GB"/>
              </w:rPr>
            </w:pPr>
            <w:r>
              <w:rPr>
                <w:rFonts w:eastAsia="Times New Roman" w:cs="Arial" w:ascii="Arial" w:hAnsi="Arial"/>
                <w:szCs w:val="20"/>
                <w:lang w:eastAsia="en-GB"/>
              </w:rPr>
            </w:r>
          </w:p>
        </w:tc>
        <w:tc>
          <w:tcPr>
            <w:tcW w:w="47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rFonts w:ascii="Arial" w:hAnsi="Arial" w:eastAsia="Times New Roman" w:cs="Arial"/>
                <w:b w:val="false"/>
                <w:color w:val="242424"/>
                <w:sz w:val="22"/>
                <w:szCs w:val="22"/>
                <w:lang w:eastAsia="en-GB"/>
              </w:rPr>
            </w:pPr>
            <w:r>
              <w:rPr>
                <w:rFonts w:eastAsia="Times New Roman" w:cs="Arial" w:ascii="Arial" w:hAnsi="Arial"/>
                <w:b w:val="false"/>
                <w:color w:val="242424"/>
                <w:sz w:val="22"/>
                <w:szCs w:val="22"/>
                <w:lang w:eastAsia="en-GB"/>
              </w:rPr>
            </w:r>
          </w:p>
        </w:tc>
        <w:tc>
          <w:tcPr>
            <w:tcW w:w="763" w:type="dxa"/>
            <w:tcBorders/>
          </w:tcPr>
          <w:p>
            <w:pPr>
              <w:pStyle w:val="Normal"/>
              <w:widowControl/>
              <w:bidi w:val="0"/>
              <w:spacing w:lineRule="auto" w:line="276" w:before="0" w:after="200"/>
              <w:jc w:val="left"/>
              <w:rPr/>
            </w:pPr>
            <w:r>
              <w:rPr/>
            </w:r>
          </w:p>
        </w:tc>
      </w:tr>
      <w:tr>
        <w:trPr>
          <w:cantSplit/>
        </w:trPr>
        <w:tc>
          <w:tcPr>
            <w:tcW w:w="740" w:type="dxa"/>
            <w:tcBorders/>
          </w:tcPr>
          <w:p>
            <w:pPr>
              <w:pStyle w:val="Normal"/>
              <w:keepNext w:val="true"/>
              <w:numPr>
                <w:ilvl w:val="0"/>
                <w:numId w:val="0"/>
              </w:numPr>
              <w:spacing w:lineRule="auto" w:line="240" w:before="60" w:after="60"/>
              <w:ind w:hanging="0" w:left="0"/>
              <w:outlineLvl w:val="2"/>
              <w:rPr>
                <w:rFonts w:ascii="Arial" w:hAnsi="Arial" w:eastAsia="Times New Roman" w:cs="Arial"/>
                <w:b/>
                <w:lang w:eastAsia="en-GB"/>
              </w:rPr>
            </w:pPr>
            <w:r>
              <w:rPr>
                <w:rFonts w:eastAsia="Times New Roman" w:cs="Arial" w:ascii="Arial" w:hAnsi="Arial"/>
                <w:b/>
                <w:lang w:eastAsia="en-GB"/>
              </w:rPr>
            </w:r>
          </w:p>
        </w:tc>
        <w:tc>
          <w:tcPr>
            <w:tcW w:w="2882"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60" w:after="60"/>
              <w:ind w:hanging="0" w:left="0"/>
              <w:outlineLvl w:val="2"/>
              <w:rPr>
                <w:rFonts w:ascii="Arial" w:hAnsi="Arial" w:eastAsia="Times New Roman" w:cs="Arial"/>
                <w:b/>
                <w:lang w:eastAsia="en-GB"/>
              </w:rPr>
            </w:pPr>
            <w:r>
              <w:rPr>
                <w:rFonts w:eastAsia="Times New Roman" w:cs="Arial" w:ascii="Arial" w:hAnsi="Arial"/>
                <w:b/>
                <w:lang w:eastAsia="en-GB"/>
              </w:rPr>
            </w:r>
          </w:p>
        </w:tc>
        <w:tc>
          <w:tcPr>
            <w:tcW w:w="16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rFonts w:ascii="Arial" w:hAnsi="Arial" w:eastAsia="Times New Roman" w:cs="Arial"/>
                <w:szCs w:val="20"/>
                <w:lang w:eastAsia="en-GB"/>
              </w:rPr>
            </w:pPr>
            <w:r>
              <w:rPr>
                <w:rFonts w:eastAsia="Times New Roman" w:cs="Arial" w:ascii="Arial" w:hAnsi="Arial"/>
                <w:szCs w:val="20"/>
                <w:lang w:eastAsia="en-GB"/>
              </w:rPr>
            </w:r>
          </w:p>
        </w:tc>
        <w:tc>
          <w:tcPr>
            <w:tcW w:w="47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rFonts w:ascii="Arial" w:hAnsi="Arial" w:eastAsia="Times New Roman" w:cs="Arial"/>
                <w:szCs w:val="20"/>
                <w:lang w:eastAsia="en-GB"/>
              </w:rPr>
            </w:pPr>
            <w:r>
              <w:rPr>
                <w:rFonts w:eastAsia="Times New Roman" w:cs="Arial" w:ascii="Arial" w:hAnsi="Arial"/>
                <w:szCs w:val="20"/>
                <w:lang w:eastAsia="en-GB"/>
              </w:rPr>
            </w:r>
          </w:p>
        </w:tc>
        <w:tc>
          <w:tcPr>
            <w:tcW w:w="763" w:type="dxa"/>
            <w:tcBorders/>
          </w:tcPr>
          <w:p>
            <w:pPr>
              <w:pStyle w:val="Normal"/>
              <w:widowControl/>
              <w:bidi w:val="0"/>
              <w:spacing w:lineRule="auto" w:line="276" w:before="0" w:after="200"/>
              <w:jc w:val="left"/>
              <w:rPr/>
            </w:pPr>
            <w:r>
              <w:rPr/>
            </w:r>
          </w:p>
        </w:tc>
      </w:tr>
      <w:tr>
        <w:trPr>
          <w:cantSplit/>
        </w:trPr>
        <w:tc>
          <w:tcPr>
            <w:tcW w:w="740" w:type="dxa"/>
            <w:tcBorders/>
          </w:tcPr>
          <w:p>
            <w:pPr>
              <w:pStyle w:val="Normal"/>
              <w:keepNext w:val="true"/>
              <w:numPr>
                <w:ilvl w:val="0"/>
                <w:numId w:val="0"/>
              </w:numPr>
              <w:spacing w:lineRule="auto" w:line="240" w:before="60" w:after="60"/>
              <w:ind w:hanging="0" w:left="0"/>
              <w:outlineLvl w:val="2"/>
              <w:rPr>
                <w:rFonts w:ascii="Arial" w:hAnsi="Arial" w:eastAsia="Times New Roman" w:cs="Arial"/>
                <w:b/>
                <w:lang w:eastAsia="en-GB"/>
              </w:rPr>
            </w:pPr>
            <w:r>
              <w:rPr>
                <w:rFonts w:eastAsia="Times New Roman" w:cs="Arial" w:ascii="Arial" w:hAnsi="Arial"/>
                <w:b/>
                <w:lang w:eastAsia="en-GB"/>
              </w:rPr>
            </w:r>
          </w:p>
        </w:tc>
        <w:tc>
          <w:tcPr>
            <w:tcW w:w="2882"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60" w:after="60"/>
              <w:ind w:hanging="0" w:left="0"/>
              <w:outlineLvl w:val="2"/>
              <w:rPr>
                <w:rFonts w:ascii="Arial" w:hAnsi="Arial" w:eastAsia="Times New Roman" w:cs="Arial"/>
                <w:b/>
                <w:lang w:eastAsia="en-GB"/>
              </w:rPr>
            </w:pPr>
            <w:r>
              <w:rPr>
                <w:rFonts w:eastAsia="Times New Roman" w:cs="Arial" w:ascii="Arial" w:hAnsi="Arial"/>
                <w:b/>
                <w:lang w:eastAsia="en-GB"/>
              </w:rPr>
            </w:r>
          </w:p>
        </w:tc>
        <w:tc>
          <w:tcPr>
            <w:tcW w:w="1697" w:type="dxa"/>
            <w:tcBorders>
              <w:top w:val="single" w:sz="4" w:space="0" w:color="000000"/>
              <w:left w:val="single" w:sz="4" w:space="0" w:color="000000"/>
              <w:bottom w:val="single" w:sz="6" w:space="0" w:color="000000"/>
              <w:right w:val="single" w:sz="4" w:space="0" w:color="000000"/>
            </w:tcBorders>
          </w:tcPr>
          <w:p>
            <w:pPr>
              <w:pStyle w:val="Normal"/>
              <w:spacing w:lineRule="auto" w:line="240" w:before="60" w:after="60"/>
              <w:rPr>
                <w:rFonts w:ascii="Arial" w:hAnsi="Arial" w:eastAsia="Times New Roman" w:cs="Arial"/>
                <w:szCs w:val="20"/>
                <w:lang w:eastAsia="en-GB"/>
              </w:rPr>
            </w:pPr>
            <w:r>
              <w:rPr>
                <w:rFonts w:eastAsia="Times New Roman" w:cs="Arial" w:ascii="Arial" w:hAnsi="Arial"/>
                <w:szCs w:val="20"/>
                <w:lang w:eastAsia="en-GB"/>
              </w:rPr>
            </w:r>
          </w:p>
        </w:tc>
        <w:tc>
          <w:tcPr>
            <w:tcW w:w="4708" w:type="dxa"/>
            <w:tcBorders>
              <w:top w:val="single" w:sz="4" w:space="0" w:color="000000"/>
              <w:left w:val="single" w:sz="4" w:space="0" w:color="000000"/>
              <w:bottom w:val="single" w:sz="6" w:space="0" w:color="000000"/>
              <w:right w:val="single" w:sz="4" w:space="0" w:color="000000"/>
            </w:tcBorders>
          </w:tcPr>
          <w:p>
            <w:pPr>
              <w:pStyle w:val="Normal"/>
              <w:spacing w:lineRule="auto" w:line="240" w:before="60" w:after="60"/>
              <w:rPr>
                <w:rFonts w:ascii="Arial" w:hAnsi="Arial" w:eastAsia="Times New Roman" w:cs="Arial"/>
                <w:szCs w:val="20"/>
                <w:lang w:eastAsia="en-GB"/>
              </w:rPr>
            </w:pPr>
            <w:r>
              <w:rPr>
                <w:rFonts w:eastAsia="Times New Roman" w:cs="Arial" w:ascii="Arial" w:hAnsi="Arial"/>
                <w:szCs w:val="20"/>
                <w:lang w:eastAsia="en-GB"/>
              </w:rPr>
            </w:r>
          </w:p>
        </w:tc>
        <w:tc>
          <w:tcPr>
            <w:tcW w:w="763" w:type="dxa"/>
            <w:tcBorders/>
          </w:tcPr>
          <w:p>
            <w:pPr>
              <w:pStyle w:val="Normal"/>
              <w:widowControl/>
              <w:bidi w:val="0"/>
              <w:spacing w:lineRule="auto" w:line="276" w:before="0" w:after="200"/>
              <w:jc w:val="left"/>
              <w:rPr/>
            </w:pPr>
            <w:r>
              <w:rPr/>
            </w:r>
          </w:p>
        </w:tc>
      </w:tr>
      <w:tr>
        <w:trPr>
          <w:cantSplit/>
        </w:trPr>
        <w:tc>
          <w:tcPr>
            <w:tcW w:w="740" w:type="dxa"/>
            <w:tcBorders/>
          </w:tcPr>
          <w:p>
            <w:pPr>
              <w:pStyle w:val="Normal"/>
              <w:spacing w:lineRule="auto" w:line="240" w:before="60" w:after="60"/>
              <w:rPr>
                <w:rFonts w:ascii="Arial" w:hAnsi="Arial" w:eastAsia="Times New Roman" w:cs="Arial"/>
                <w:b/>
                <w:szCs w:val="20"/>
                <w:lang w:eastAsia="en-GB"/>
              </w:rPr>
            </w:pPr>
            <w:r>
              <w:rPr>
                <w:rFonts w:eastAsia="Times New Roman" w:cs="Arial" w:ascii="Arial" w:hAnsi="Arial"/>
                <w:b/>
                <w:szCs w:val="20"/>
                <w:lang w:eastAsia="en-GB"/>
              </w:rPr>
            </w:r>
          </w:p>
        </w:tc>
        <w:tc>
          <w:tcPr>
            <w:tcW w:w="9287" w:type="dxa"/>
            <w:gridSpan w:val="3"/>
            <w:tcBorders>
              <w:bottom w:val="single" w:sz="4" w:space="0" w:color="000000"/>
            </w:tcBorders>
          </w:tcPr>
          <w:p>
            <w:pPr>
              <w:pStyle w:val="Normal"/>
              <w:spacing w:lineRule="auto" w:line="240" w:before="60" w:after="60"/>
              <w:rPr>
                <w:rFonts w:ascii="Arial" w:hAnsi="Arial" w:eastAsia="Times New Roman" w:cs="Arial"/>
                <w:b/>
                <w:szCs w:val="20"/>
                <w:lang w:eastAsia="en-GB"/>
              </w:rPr>
            </w:pPr>
            <w:r>
              <w:rPr>
                <w:rFonts w:eastAsia="Times New Roman" w:cs="Arial" w:ascii="Arial" w:hAnsi="Arial"/>
                <w:b/>
                <w:szCs w:val="20"/>
                <w:lang w:eastAsia="en-GB"/>
              </w:rPr>
              <w:t>Name of chief executive or names of senior staff members (Optional information)</w:t>
            </w:r>
          </w:p>
        </w:tc>
        <w:tc>
          <w:tcPr>
            <w:tcW w:w="763" w:type="dxa"/>
            <w:tcBorders/>
          </w:tcPr>
          <w:p>
            <w:pPr>
              <w:pStyle w:val="Normal"/>
              <w:widowControl/>
              <w:bidi w:val="0"/>
              <w:spacing w:lineRule="auto" w:line="276" w:before="0" w:after="200"/>
              <w:jc w:val="left"/>
              <w:rPr/>
            </w:pPr>
            <w:r>
              <w:rPr/>
            </w:r>
          </w:p>
        </w:tc>
      </w:tr>
      <w:tr>
        <w:trPr>
          <w:cantSplit/>
        </w:trPr>
        <w:tc>
          <w:tcPr>
            <w:tcW w:w="740" w:type="dxa"/>
            <w:tcBorders/>
          </w:tcPr>
          <w:p>
            <w:pPr>
              <w:pStyle w:val="Normal"/>
              <w:spacing w:lineRule="auto" w:line="240" w:before="60" w:after="60"/>
              <w:rPr>
                <w:rFonts w:ascii="Arial" w:hAnsi="Arial" w:eastAsia="Times New Roman" w:cs="Arial"/>
                <w:szCs w:val="20"/>
                <w:lang w:eastAsia="en-GB"/>
              </w:rPr>
            </w:pPr>
            <w:r>
              <w:rPr>
                <w:rFonts w:eastAsia="Times New Roman" w:cs="Arial" w:ascii="Arial" w:hAnsi="Arial"/>
                <w:szCs w:val="20"/>
                <w:lang w:eastAsia="en-GB"/>
              </w:rPr>
            </w:r>
          </w:p>
        </w:tc>
        <w:tc>
          <w:tcPr>
            <w:tcW w:w="9287"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rFonts w:ascii="Arial" w:hAnsi="Arial" w:eastAsia="Times New Roman" w:cs="Arial"/>
                <w:szCs w:val="20"/>
                <w:lang w:eastAsia="en-GB"/>
              </w:rPr>
            </w:pPr>
            <w:r>
              <w:rPr>
                <w:rFonts w:eastAsia="Times New Roman" w:cs="Arial" w:ascii="Arial" w:hAnsi="Arial"/>
                <w:szCs w:val="20"/>
                <w:lang w:eastAsia="en-GB"/>
              </w:rPr>
            </w:r>
          </w:p>
        </w:tc>
        <w:tc>
          <w:tcPr>
            <w:tcW w:w="763" w:type="dxa"/>
            <w:tcBorders/>
          </w:tcPr>
          <w:p>
            <w:pPr>
              <w:pStyle w:val="Normal"/>
              <w:widowControl/>
              <w:bidi w:val="0"/>
              <w:spacing w:lineRule="auto" w:line="276" w:before="0" w:after="200"/>
              <w:jc w:val="left"/>
              <w:rPr/>
            </w:pPr>
            <w:r>
              <w:rPr/>
            </w:r>
          </w:p>
        </w:tc>
      </w:tr>
    </w:tbl>
    <w:p>
      <w:pPr>
        <w:pStyle w:val="Normal"/>
        <w:spacing w:lineRule="auto" w:line="240" w:before="0" w:after="0"/>
        <w:rPr>
          <w:rFonts w:ascii="Arial" w:hAnsi="Arial" w:cs="Arial"/>
          <w:b/>
          <w:sz w:val="28"/>
          <w:szCs w:val="28"/>
        </w:rPr>
      </w:pPr>
      <w:r>
        <w:rPr>
          <w:rFonts w:cs="Arial" w:ascii="Arial" w:hAnsi="Arial"/>
          <w:b/>
          <w:sz w:val="28"/>
          <w:szCs w:val="28"/>
        </w:rPr>
      </w:r>
    </w:p>
    <w:p>
      <w:pPr>
        <w:pStyle w:val="Normal"/>
        <w:spacing w:lineRule="auto" w:line="240" w:before="0" w:after="0"/>
        <w:rPr>
          <w:rFonts w:ascii="Arial" w:hAnsi="Arial" w:eastAsia="Times New Roman" w:cs="Arial"/>
          <w:b/>
          <w:sz w:val="28"/>
          <w:szCs w:val="28"/>
          <w:lang w:eastAsia="en-GB"/>
        </w:rPr>
      </w:pPr>
      <w:r>
        <w:rPr>
          <w:rFonts w:eastAsia="Times New Roman" w:cs="Arial" w:ascii="Arial" w:hAnsi="Arial"/>
          <w:b/>
          <w:sz w:val="28"/>
          <w:szCs w:val="28"/>
          <w:lang w:eastAsia="en-GB"/>
        </w:rPr>
        <w:t>Exemptions from disclosure</w:t>
      </w:r>
    </w:p>
    <w:p>
      <w:pPr>
        <w:pStyle w:val="Normal"/>
        <w:spacing w:lineRule="auto" w:line="240" w:before="0" w:after="0"/>
        <w:rPr>
          <w:rFonts w:ascii="Arial" w:hAnsi="Arial" w:eastAsia="Times New Roman" w:cs="Arial"/>
          <w:b/>
          <w:lang w:eastAsia="en-GB"/>
        </w:rPr>
      </w:pPr>
      <w:r>
        <w:rPr>
          <w:rFonts w:eastAsia="Times New Roman" w:cs="Arial" w:ascii="Arial" w:hAnsi="Arial"/>
          <w:b/>
          <w:lang w:eastAsia="en-GB"/>
        </w:rPr>
      </w:r>
    </w:p>
    <w:p>
      <w:pPr>
        <w:pStyle w:val="Normal"/>
        <w:spacing w:lineRule="auto" w:line="240" w:before="0" w:after="0"/>
        <w:rPr>
          <w:rFonts w:ascii="Arial" w:hAnsi="Arial" w:eastAsia="Times New Roman" w:cs="Arial"/>
          <w:lang w:eastAsia="en-GB"/>
        </w:rPr>
      </w:pPr>
      <w:r>
        <w:rPr>
          <w:rFonts w:eastAsia="Times New Roman" w:cs="Arial" w:ascii="Arial" w:hAnsi="Arial"/>
          <w:lang w:eastAsia="en-GB"/>
        </w:rPr>
        <w:t>Reason for non-disclosure of key personnel details</w:t>
      </w:r>
    </w:p>
    <w:tbl>
      <w:tblPr>
        <w:tblW w:w="9615" w:type="dxa"/>
        <w:jc w:val="left"/>
        <w:tblInd w:w="206" w:type="dxa"/>
        <w:tblLayout w:type="fixed"/>
        <w:tblCellMar>
          <w:top w:w="0" w:type="dxa"/>
          <w:left w:w="108" w:type="dxa"/>
          <w:bottom w:w="0" w:type="dxa"/>
          <w:right w:w="108" w:type="dxa"/>
        </w:tblCellMar>
        <w:tblLook w:val="0000"/>
      </w:tblPr>
      <w:tblGrid>
        <w:gridCol w:w="9615"/>
      </w:tblGrid>
      <w:tr>
        <w:trPr>
          <w:trHeight w:val="1229" w:hRule="atLeast"/>
        </w:trPr>
        <w:tc>
          <w:tcPr>
            <w:tcW w:w="96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
              <w:rPr>
                <w:rFonts w:ascii="Arial" w:hAnsi="Arial" w:cs="Arial"/>
                <w:b/>
              </w:rPr>
            </w:pPr>
            <w:r>
              <w:rPr>
                <w:rFonts w:cs="Arial" w:ascii="Arial" w:hAnsi="Arial"/>
                <w:b/>
              </w:rPr>
            </w:r>
          </w:p>
          <w:p>
            <w:pPr>
              <w:pStyle w:val="Normal"/>
              <w:spacing w:lineRule="auto" w:line="240" w:before="0" w:after="0"/>
              <w:ind w:left="15"/>
              <w:rPr>
                <w:rFonts w:ascii="Arial" w:hAnsi="Arial" w:cs="Arial"/>
                <w:b/>
              </w:rPr>
            </w:pPr>
            <w:r>
              <w:rPr>
                <w:rFonts w:cs="Arial" w:ascii="Arial" w:hAnsi="Arial"/>
                <w:b/>
              </w:rPr>
            </w:r>
          </w:p>
        </w:tc>
      </w:tr>
    </w:tbl>
    <w:p>
      <w:pPr>
        <w:pStyle w:val="Normal"/>
        <w:spacing w:lineRule="auto" w:line="240" w:before="0" w:after="0"/>
        <w:rPr>
          <w:rFonts w:ascii="Arial" w:hAnsi="Arial" w:eastAsia="Times New Roman" w:cs="Arial"/>
          <w:sz w:val="16"/>
          <w:szCs w:val="16"/>
          <w:lang w:eastAsia="en-GB"/>
        </w:rPr>
      </w:pPr>
      <w:r>
        <w:rPr>
          <w:rFonts w:eastAsia="Times New Roman" w:cs="Arial" w:ascii="Arial" w:hAnsi="Arial"/>
          <w:sz w:val="16"/>
          <w:szCs w:val="16"/>
          <w:lang w:eastAsia="en-GB"/>
        </w:rPr>
      </w:r>
    </w:p>
    <w:p>
      <w:pPr>
        <w:pStyle w:val="Normal"/>
        <w:spacing w:lineRule="auto" w:line="240" w:before="0" w:after="0"/>
        <w:rPr>
          <w:rFonts w:ascii="Arial" w:hAnsi="Arial" w:cs="Arial"/>
          <w:b/>
          <w:sz w:val="28"/>
          <w:szCs w:val="28"/>
        </w:rPr>
      </w:pPr>
      <w:r>
        <w:rPr>
          <w:rFonts w:cs="Arial" w:ascii="Arial" w:hAnsi="Arial"/>
          <w:b/>
          <w:sz w:val="28"/>
          <w:szCs w:val="28"/>
        </w:rPr>
        <w:t>Other optional information</w:t>
      </w:r>
    </w:p>
    <w:tbl>
      <w:tblPr>
        <w:tblW w:w="9615" w:type="dxa"/>
        <w:jc w:val="left"/>
        <w:tblInd w:w="206" w:type="dxa"/>
        <w:tblLayout w:type="fixed"/>
        <w:tblCellMar>
          <w:top w:w="0" w:type="dxa"/>
          <w:left w:w="108" w:type="dxa"/>
          <w:bottom w:w="0" w:type="dxa"/>
          <w:right w:w="108" w:type="dxa"/>
        </w:tblCellMar>
        <w:tblLook w:val="0000"/>
      </w:tblPr>
      <w:tblGrid>
        <w:gridCol w:w="9615"/>
      </w:tblGrid>
      <w:tr>
        <w:trPr>
          <w:trHeight w:val="1229" w:hRule="atLeast"/>
        </w:trPr>
        <w:tc>
          <w:tcPr>
            <w:tcW w:w="96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
              <w:rPr>
                <w:rFonts w:ascii="Arial" w:hAnsi="Arial" w:cs="Arial"/>
                <w:b/>
              </w:rPr>
            </w:pPr>
            <w:r>
              <w:rPr>
                <w:rFonts w:cs="Arial" w:ascii="Arial" w:hAnsi="Arial"/>
                <w:b/>
              </w:rPr>
            </w:r>
          </w:p>
          <w:p>
            <w:pPr>
              <w:pStyle w:val="Normal"/>
              <w:spacing w:lineRule="auto" w:line="240" w:before="0" w:after="0"/>
              <w:ind w:left="15"/>
              <w:rPr>
                <w:rFonts w:ascii="Arial" w:hAnsi="Arial" w:cs="Arial"/>
                <w:b/>
              </w:rPr>
            </w:pPr>
            <w:r>
              <w:rPr>
                <w:rFonts w:cs="Arial" w:ascii="Arial" w:hAnsi="Arial"/>
                <w:b/>
              </w:rPr>
            </w:r>
          </w:p>
        </w:tc>
      </w:tr>
    </w:tbl>
    <w:p>
      <w:pPr>
        <w:pStyle w:val="Normal"/>
        <w:spacing w:lineRule="auto" w:line="240" w:before="0" w:after="0"/>
        <w:rPr>
          <w:rFonts w:ascii="Arial" w:hAnsi="Arial" w:eastAsia="Times New Roman" w:cs="Arial"/>
          <w:b/>
          <w:sz w:val="28"/>
          <w:szCs w:val="28"/>
          <w:lang w:eastAsia="en-GB"/>
        </w:rPr>
      </w:pPr>
      <w:r>
        <w:rPr>
          <w:rFonts w:eastAsia="Times New Roman" w:cs="Arial" w:ascii="Arial" w:hAnsi="Arial"/>
          <w:b/>
          <w:sz w:val="28"/>
          <w:szCs w:val="28"/>
          <w:lang w:eastAsia="en-GB"/>
        </w:rPr>
      </w:r>
    </w:p>
    <w:p>
      <w:pPr>
        <w:pStyle w:val="Normal"/>
        <w:rPr>
          <w:rFonts w:ascii="Arial" w:hAnsi="Arial" w:eastAsia="Times New Roman" w:cs="Arial"/>
          <w:b/>
          <w:sz w:val="28"/>
          <w:szCs w:val="28"/>
          <w:lang w:eastAsia="en-GB"/>
        </w:rPr>
      </w:pPr>
      <w:r>
        <w:rPr>
          <w:rFonts w:eastAsia="Times New Roman" w:cs="Arial" w:ascii="Arial" w:hAnsi="Arial"/>
          <w:b/>
          <w:sz w:val="28"/>
          <w:szCs w:val="28"/>
          <w:lang w:eastAsia="en-GB"/>
        </w:rPr>
      </w:r>
      <w:r>
        <w:br w:type="page"/>
      </w:r>
    </w:p>
    <w:p>
      <w:pPr>
        <w:pStyle w:val="Normal"/>
        <w:spacing w:lineRule="auto" w:line="240" w:before="0" w:after="0"/>
        <w:rPr>
          <w:rFonts w:ascii="Arial" w:hAnsi="Arial" w:eastAsia="Times New Roman" w:cs="Arial"/>
          <w:b/>
          <w:sz w:val="28"/>
          <w:szCs w:val="28"/>
          <w:lang w:eastAsia="en-GB"/>
        </w:rPr>
      </w:pPr>
      <w:r>
        <w:rPr>
          <w:rFonts w:eastAsia="Times New Roman" w:cs="Arial" w:ascii="Arial" w:hAnsi="Arial"/>
          <w:b/>
          <w:sz w:val="28"/>
          <w:szCs w:val="28"/>
          <w:lang w:eastAsia="en-GB"/>
        </w:rPr>
        <w:t>Declarations</w:t>
      </w:r>
    </w:p>
    <w:p>
      <w:pPr>
        <w:pStyle w:val="Normal"/>
        <w:spacing w:lineRule="auto" w:line="240" w:before="0" w:after="0"/>
        <w:rPr>
          <w:rFonts w:ascii="Arial" w:hAnsi="Arial" w:eastAsia="Times New Roman" w:cs="Arial"/>
          <w:b/>
          <w:lang w:eastAsia="en-GB"/>
        </w:rPr>
      </w:pPr>
      <w:r>
        <w:rPr>
          <w:rFonts w:eastAsia="Times New Roman" w:cs="Arial" w:ascii="Arial" w:hAnsi="Arial"/>
          <w:b/>
          <w:lang w:eastAsia="en-GB"/>
        </w:rPr>
      </w:r>
    </w:p>
    <w:tbl>
      <w:tblPr>
        <w:tblW w:w="11149" w:type="dxa"/>
        <w:jc w:val="center"/>
        <w:tblInd w:w="0" w:type="dxa"/>
        <w:tblLayout w:type="fixed"/>
        <w:tblCellMar>
          <w:top w:w="0" w:type="dxa"/>
          <w:left w:w="107" w:type="dxa"/>
          <w:bottom w:w="0" w:type="dxa"/>
          <w:right w:w="107" w:type="dxa"/>
        </w:tblCellMar>
        <w:tblLook w:val="0000"/>
      </w:tblPr>
      <w:tblGrid>
        <w:gridCol w:w="313"/>
        <w:gridCol w:w="50"/>
        <w:gridCol w:w="670"/>
        <w:gridCol w:w="2297"/>
        <w:gridCol w:w="22"/>
        <w:gridCol w:w="3522"/>
        <w:gridCol w:w="20"/>
        <w:gridCol w:w="3809"/>
        <w:gridCol w:w="20"/>
        <w:gridCol w:w="48"/>
        <w:gridCol w:w="378"/>
      </w:tblGrid>
      <w:tr>
        <w:trPr>
          <w:trHeight w:val="400" w:hRule="atLeast"/>
        </w:trPr>
        <w:tc>
          <w:tcPr>
            <w:tcW w:w="10771" w:type="dxa"/>
            <w:gridSpan w:val="10"/>
            <w:tcBorders/>
          </w:tcPr>
          <w:p>
            <w:pPr>
              <w:pStyle w:val="Normal"/>
              <w:numPr>
                <w:ilvl w:val="0"/>
                <w:numId w:val="0"/>
              </w:numPr>
              <w:spacing w:lineRule="auto" w:line="240" w:before="0" w:after="0"/>
              <w:ind w:hanging="0" w:left="0"/>
              <w:rPr>
                <w:rFonts w:ascii="Arial" w:hAnsi="Arial" w:eastAsia="Times New Roman" w:cs="Arial"/>
                <w:b/>
                <w:szCs w:val="20"/>
                <w:lang w:eastAsia="en-GB"/>
              </w:rPr>
            </w:pPr>
            <w:r>
              <w:rPr>
                <w:rFonts w:eastAsia="Times New Roman" w:cs="Arial" w:ascii="Arial" w:hAnsi="Arial"/>
                <w:b/>
                <w:szCs w:val="20"/>
                <w:lang w:eastAsia="en-GB"/>
              </w:rPr>
              <w:t xml:space="preserve">               </w:t>
            </w:r>
            <w:r>
              <w:rPr>
                <w:rFonts w:eastAsia="Times New Roman" w:cs="Arial" w:ascii="Arial" w:hAnsi="Arial"/>
                <w:b/>
                <w:szCs w:val="20"/>
                <w:lang w:eastAsia="en-GB"/>
              </w:rPr>
              <w:t>The trustees declare that they have approved the trustees’ report above.</w:t>
            </w:r>
          </w:p>
          <w:p>
            <w:pPr>
              <w:pStyle w:val="Normal"/>
              <w:spacing w:lineRule="auto" w:line="240" w:before="0" w:after="0"/>
              <w:rPr>
                <w:rFonts w:ascii="Arial" w:hAnsi="Arial" w:eastAsia="Times New Roman" w:cs="Arial"/>
                <w:b/>
                <w:szCs w:val="20"/>
                <w:lang w:eastAsia="en-GB"/>
              </w:rPr>
            </w:pPr>
            <w:r>
              <w:rPr>
                <w:rFonts w:eastAsia="Times New Roman" w:cs="Arial" w:ascii="Arial" w:hAnsi="Arial"/>
                <w:b/>
                <w:szCs w:val="20"/>
                <w:lang w:eastAsia="en-GB"/>
              </w:rPr>
            </w:r>
          </w:p>
          <w:p>
            <w:pPr>
              <w:pStyle w:val="Normal"/>
              <w:spacing w:lineRule="auto" w:line="240" w:before="0" w:after="120"/>
              <w:rPr>
                <w:rFonts w:ascii="Arial" w:hAnsi="Arial" w:eastAsia="Times New Roman" w:cs="Arial"/>
                <w:b/>
                <w:szCs w:val="20"/>
                <w:lang w:eastAsia="en-GB"/>
              </w:rPr>
            </w:pPr>
            <w:r>
              <w:rPr>
                <w:rFonts w:eastAsia="Times New Roman" w:cs="Arial" w:ascii="Arial" w:hAnsi="Arial"/>
                <w:b/>
                <w:szCs w:val="20"/>
                <w:lang w:eastAsia="en-GB"/>
              </w:rPr>
              <w:t xml:space="preserve">              </w:t>
            </w:r>
            <w:r>
              <w:rPr>
                <w:rFonts w:eastAsia="Times New Roman" w:cs="Arial" w:ascii="Arial" w:hAnsi="Arial"/>
                <w:b/>
                <w:szCs w:val="20"/>
                <w:lang w:eastAsia="en-GB"/>
              </w:rPr>
              <w:t>Signed</w:t>
            </w:r>
            <w:r>
              <w:rPr>
                <w:rFonts w:eastAsia="Times New Roman" w:cs="Arial" w:ascii="Arial" w:hAnsi="Arial"/>
                <w:b/>
                <w:i/>
                <w:szCs w:val="20"/>
                <w:lang w:eastAsia="en-GB"/>
              </w:rPr>
              <w:t xml:space="preserve"> </w:t>
            </w:r>
            <w:r>
              <w:rPr>
                <w:rFonts w:eastAsia="Times New Roman" w:cs="Arial" w:ascii="Arial" w:hAnsi="Arial"/>
                <w:b/>
                <w:szCs w:val="20"/>
                <w:lang w:eastAsia="en-GB"/>
              </w:rPr>
              <w:t>on behalf of the charity’s trustees</w:t>
            </w:r>
          </w:p>
        </w:tc>
        <w:tc>
          <w:tcPr>
            <w:tcW w:w="378" w:type="dxa"/>
            <w:tcBorders/>
          </w:tcPr>
          <w:p>
            <w:pPr>
              <w:pStyle w:val="Normal"/>
              <w:widowControl/>
              <w:bidi w:val="0"/>
              <w:spacing w:lineRule="auto" w:line="276" w:before="0" w:after="200"/>
              <w:jc w:val="left"/>
              <w:rPr/>
            </w:pPr>
            <w:r>
              <w:rPr/>
            </w:r>
          </w:p>
        </w:tc>
      </w:tr>
      <w:tr>
        <w:trPr>
          <w:cantSplit/>
        </w:trPr>
        <w:tc>
          <w:tcPr>
            <w:tcW w:w="313" w:type="dxa"/>
            <w:tcBorders/>
          </w:tcPr>
          <w:p>
            <w:pPr>
              <w:pStyle w:val="Normal"/>
              <w:numPr>
                <w:ilvl w:val="0"/>
                <w:numId w:val="0"/>
              </w:numPr>
              <w:spacing w:lineRule="auto" w:line="240" w:before="120" w:after="120"/>
              <w:ind w:hanging="0" w:left="0"/>
              <w:jc w:val="right"/>
              <w:rPr>
                <w:rFonts w:ascii="Arial" w:hAnsi="Arial" w:eastAsia="Times New Roman" w:cs="Arial"/>
                <w:b/>
                <w:szCs w:val="20"/>
                <w:lang w:eastAsia="en-GB"/>
              </w:rPr>
            </w:pPr>
            <w:r>
              <w:rPr>
                <w:rFonts w:eastAsia="Times New Roman" w:cs="Arial" w:ascii="Arial" w:hAnsi="Arial"/>
                <w:b/>
                <w:szCs w:val="20"/>
                <w:lang w:eastAsia="en-GB"/>
              </w:rPr>
            </w:r>
          </w:p>
        </w:tc>
        <w:tc>
          <w:tcPr>
            <w:tcW w:w="50" w:type="dxa"/>
            <w:tcBorders/>
          </w:tcPr>
          <w:p>
            <w:pPr>
              <w:pStyle w:val="Normal"/>
              <w:numPr>
                <w:ilvl w:val="0"/>
                <w:numId w:val="0"/>
              </w:numPr>
              <w:spacing w:lineRule="auto" w:line="240" w:before="120" w:after="120"/>
              <w:ind w:hanging="0" w:left="0"/>
              <w:jc w:val="right"/>
              <w:rPr>
                <w:rFonts w:ascii="Arial" w:hAnsi="Arial" w:eastAsia="Times New Roman" w:cs="Arial"/>
                <w:b/>
                <w:szCs w:val="20"/>
                <w:lang w:eastAsia="en-GB"/>
              </w:rPr>
            </w:pPr>
            <w:r>
              <w:rPr>
                <w:rFonts w:eastAsia="Times New Roman" w:cs="Arial" w:ascii="Arial" w:hAnsi="Arial"/>
                <w:b/>
                <w:szCs w:val="20"/>
                <w:lang w:eastAsia="en-GB"/>
              </w:rPr>
            </w:r>
          </w:p>
        </w:tc>
        <w:tc>
          <w:tcPr>
            <w:tcW w:w="670" w:type="dxa"/>
            <w:tcBorders/>
          </w:tcPr>
          <w:p>
            <w:pPr>
              <w:pStyle w:val="Normal"/>
              <w:numPr>
                <w:ilvl w:val="0"/>
                <w:numId w:val="0"/>
              </w:numPr>
              <w:spacing w:lineRule="auto" w:line="240" w:before="120" w:after="120"/>
              <w:ind w:hanging="0" w:left="0"/>
              <w:jc w:val="right"/>
              <w:rPr>
                <w:rFonts w:ascii="Arial" w:hAnsi="Arial" w:eastAsia="Times New Roman" w:cs="Arial"/>
                <w:b/>
                <w:szCs w:val="20"/>
                <w:lang w:eastAsia="en-GB"/>
              </w:rPr>
            </w:pPr>
            <w:r>
              <w:rPr>
                <w:rFonts w:eastAsia="Times New Roman" w:cs="Arial" w:ascii="Arial" w:hAnsi="Arial"/>
                <w:b/>
                <w:szCs w:val="20"/>
                <w:lang w:eastAsia="en-GB"/>
              </w:rPr>
            </w:r>
          </w:p>
        </w:tc>
        <w:tc>
          <w:tcPr>
            <w:tcW w:w="2319" w:type="dxa"/>
            <w:gridSpan w:val="2"/>
            <w:tcBorders/>
          </w:tcPr>
          <w:p>
            <w:pPr>
              <w:pStyle w:val="Normal"/>
              <w:numPr>
                <w:ilvl w:val="0"/>
                <w:numId w:val="0"/>
              </w:numPr>
              <w:spacing w:lineRule="auto" w:line="240" w:before="120" w:after="120"/>
              <w:ind w:hanging="0" w:left="0"/>
              <w:jc w:val="right"/>
              <w:rPr>
                <w:rFonts w:ascii="Arial" w:hAnsi="Arial" w:eastAsia="Times New Roman" w:cs="Arial"/>
                <w:b/>
                <w:szCs w:val="20"/>
                <w:lang w:eastAsia="en-GB"/>
              </w:rPr>
            </w:pPr>
            <w:r>
              <w:rPr>
                <w:rFonts w:eastAsia="Times New Roman" w:cs="Arial" w:ascii="Arial" w:hAnsi="Arial"/>
                <w:b/>
                <w:szCs w:val="20"/>
                <w:lang w:eastAsia="en-GB"/>
              </w:rPr>
              <w:t>Signature(s)</w:t>
            </w:r>
          </w:p>
        </w:tc>
        <w:tc>
          <w:tcPr>
            <w:tcW w:w="3542"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120" w:after="120"/>
              <w:ind w:hanging="0" w:left="0"/>
              <w:rPr>
                <w:rFonts w:ascii="Arial" w:hAnsi="Arial" w:eastAsia="Times New Roman" w:cs="Arial"/>
                <w:szCs w:val="20"/>
                <w:lang w:eastAsia="en-GB"/>
              </w:rPr>
            </w:pPr>
            <w:r>
              <w:rPr>
                <w:rFonts w:eastAsia="Times New Roman" w:cs="Arial" w:ascii="Arial" w:hAnsi="Arial"/>
                <w:szCs w:val="20"/>
                <w:lang w:eastAsia="en-GB"/>
              </w:rPr>
            </w:r>
          </w:p>
        </w:tc>
        <w:tc>
          <w:tcPr>
            <w:tcW w:w="3829" w:type="dxa"/>
            <w:gridSpan w:val="2"/>
            <w:tcBorders>
              <w:top w:val="single" w:sz="6" w:space="0" w:color="000000"/>
              <w:left w:val="single" w:sz="6" w:space="0" w:color="000000"/>
              <w:bottom w:val="single" w:sz="6" w:space="0" w:color="000000"/>
              <w:right w:val="single" w:sz="6" w:space="0" w:color="000000"/>
            </w:tcBorders>
          </w:tcPr>
          <w:p>
            <w:pPr>
              <w:pStyle w:val="Normal"/>
              <w:numPr>
                <w:ilvl w:val="0"/>
                <w:numId w:val="0"/>
              </w:numPr>
              <w:spacing w:lineRule="auto" w:line="240" w:before="0" w:after="0"/>
              <w:ind w:hanging="0" w:left="0"/>
              <w:rPr>
                <w:rFonts w:ascii="Arial" w:hAnsi="Arial" w:eastAsia="Times New Roman" w:cs="Arial"/>
                <w:szCs w:val="20"/>
                <w:lang w:eastAsia="en-GB"/>
              </w:rPr>
            </w:pPr>
            <w:r>
              <w:rPr>
                <w:rFonts w:eastAsia="Times New Roman" w:cs="Arial" w:ascii="Arial" w:hAnsi="Arial"/>
                <w:szCs w:val="20"/>
                <w:lang w:eastAsia="en-GB"/>
              </w:rPr>
            </w:r>
          </w:p>
        </w:tc>
        <w:tc>
          <w:tcPr>
            <w:tcW w:w="48" w:type="dxa"/>
            <w:tcBorders/>
          </w:tcPr>
          <w:p>
            <w:pPr>
              <w:pStyle w:val="Normal"/>
              <w:widowControl/>
              <w:bidi w:val="0"/>
              <w:spacing w:lineRule="auto" w:line="276" w:before="0" w:after="200"/>
              <w:jc w:val="left"/>
              <w:rPr/>
            </w:pPr>
            <w:r>
              <w:rPr/>
            </w:r>
          </w:p>
        </w:tc>
        <w:tc>
          <w:tcPr>
            <w:tcW w:w="378" w:type="dxa"/>
            <w:tcBorders/>
          </w:tcPr>
          <w:p>
            <w:pPr>
              <w:pStyle w:val="Normal"/>
              <w:widowControl/>
              <w:bidi w:val="0"/>
              <w:spacing w:lineRule="auto" w:line="276" w:before="0" w:after="200"/>
              <w:jc w:val="left"/>
              <w:rPr/>
            </w:pPr>
            <w:r>
              <w:rPr/>
            </w:r>
          </w:p>
        </w:tc>
      </w:tr>
      <w:tr>
        <w:trPr>
          <w:cantSplit/>
        </w:trPr>
        <w:tc>
          <w:tcPr>
            <w:tcW w:w="313" w:type="dxa"/>
            <w:tcBorders/>
          </w:tcPr>
          <w:p>
            <w:pPr>
              <w:pStyle w:val="Normal"/>
              <w:numPr>
                <w:ilvl w:val="0"/>
                <w:numId w:val="0"/>
              </w:numPr>
              <w:spacing w:lineRule="auto" w:line="240" w:before="0" w:after="0"/>
              <w:ind w:hanging="0" w:left="0"/>
              <w:rPr>
                <w:rFonts w:ascii="Arial" w:hAnsi="Arial" w:eastAsia="Times New Roman" w:cs="Arial"/>
                <w:vanish/>
                <w:sz w:val="16"/>
                <w:szCs w:val="20"/>
                <w:lang w:eastAsia="en-GB"/>
              </w:rPr>
            </w:pPr>
            <w:r>
              <w:rPr>
                <w:rFonts w:eastAsia="Times New Roman" w:cs="Arial" w:ascii="Arial" w:hAnsi="Arial"/>
                <w:vanish/>
                <w:sz w:val="16"/>
                <w:szCs w:val="20"/>
                <w:lang w:eastAsia="en-GB"/>
              </w:rPr>
            </w:r>
          </w:p>
        </w:tc>
        <w:tc>
          <w:tcPr>
            <w:tcW w:w="50" w:type="dxa"/>
            <w:tcBorders/>
          </w:tcPr>
          <w:p>
            <w:pPr>
              <w:pStyle w:val="Normal"/>
              <w:numPr>
                <w:ilvl w:val="0"/>
                <w:numId w:val="0"/>
              </w:numPr>
              <w:spacing w:lineRule="auto" w:line="240" w:before="0" w:after="0"/>
              <w:ind w:hanging="0" w:left="0"/>
              <w:rPr>
                <w:rFonts w:ascii="Arial" w:hAnsi="Arial" w:eastAsia="Times New Roman" w:cs="Arial"/>
                <w:vanish/>
                <w:sz w:val="16"/>
                <w:szCs w:val="20"/>
                <w:lang w:eastAsia="en-GB"/>
              </w:rPr>
            </w:pPr>
            <w:r>
              <w:rPr>
                <w:rFonts w:eastAsia="Times New Roman" w:cs="Arial" w:ascii="Arial" w:hAnsi="Arial"/>
                <w:vanish/>
                <w:sz w:val="16"/>
                <w:szCs w:val="20"/>
                <w:lang w:eastAsia="en-GB"/>
              </w:rPr>
            </w:r>
          </w:p>
        </w:tc>
        <w:tc>
          <w:tcPr>
            <w:tcW w:w="670" w:type="dxa"/>
            <w:tcBorders/>
          </w:tcPr>
          <w:p>
            <w:pPr>
              <w:pStyle w:val="Normal"/>
              <w:numPr>
                <w:ilvl w:val="0"/>
                <w:numId w:val="0"/>
              </w:numPr>
              <w:spacing w:lineRule="auto" w:line="240" w:before="0" w:after="0"/>
              <w:ind w:hanging="0" w:left="0"/>
              <w:rPr>
                <w:rFonts w:ascii="Arial" w:hAnsi="Arial" w:eastAsia="Times New Roman" w:cs="Arial"/>
                <w:vanish/>
                <w:sz w:val="16"/>
                <w:szCs w:val="20"/>
                <w:lang w:eastAsia="en-GB"/>
              </w:rPr>
            </w:pPr>
            <w:r>
              <w:rPr>
                <w:rFonts w:eastAsia="Times New Roman" w:cs="Arial" w:ascii="Arial" w:hAnsi="Arial"/>
                <w:vanish/>
                <w:sz w:val="16"/>
                <w:szCs w:val="20"/>
                <w:lang w:eastAsia="en-GB"/>
              </w:rPr>
            </w:r>
          </w:p>
        </w:tc>
        <w:tc>
          <w:tcPr>
            <w:tcW w:w="9690" w:type="dxa"/>
            <w:gridSpan w:val="6"/>
            <w:tcBorders/>
          </w:tcPr>
          <w:p>
            <w:pPr>
              <w:pStyle w:val="Normal"/>
              <w:numPr>
                <w:ilvl w:val="0"/>
                <w:numId w:val="0"/>
              </w:numPr>
              <w:spacing w:lineRule="auto" w:line="240" w:before="0" w:after="0"/>
              <w:ind w:hanging="0" w:left="0"/>
              <w:rPr>
                <w:rFonts w:ascii="Arial" w:hAnsi="Arial" w:eastAsia="Times New Roman" w:cs="Arial"/>
                <w:vanish/>
                <w:sz w:val="16"/>
                <w:szCs w:val="20"/>
                <w:lang w:eastAsia="en-GB"/>
              </w:rPr>
            </w:pPr>
            <w:r>
              <w:rPr>
                <w:rFonts w:eastAsia="Times New Roman" w:cs="Arial" w:ascii="Arial" w:hAnsi="Arial"/>
                <w:vanish/>
                <w:sz w:val="16"/>
                <w:szCs w:val="20"/>
                <w:lang w:eastAsia="en-GB"/>
              </w:rPr>
            </w:r>
          </w:p>
        </w:tc>
        <w:tc>
          <w:tcPr>
            <w:tcW w:w="48" w:type="dxa"/>
            <w:tcBorders/>
          </w:tcPr>
          <w:p>
            <w:pPr>
              <w:pStyle w:val="Normal"/>
              <w:widowControl/>
              <w:bidi w:val="0"/>
              <w:spacing w:lineRule="auto" w:line="276" w:before="0" w:after="200"/>
              <w:jc w:val="left"/>
              <w:rPr/>
            </w:pPr>
            <w:r>
              <w:rPr/>
            </w:r>
          </w:p>
        </w:tc>
        <w:tc>
          <w:tcPr>
            <w:tcW w:w="378" w:type="dxa"/>
            <w:tcBorders/>
          </w:tcPr>
          <w:p>
            <w:pPr>
              <w:pStyle w:val="Normal"/>
              <w:widowControl/>
              <w:bidi w:val="0"/>
              <w:spacing w:lineRule="auto" w:line="276" w:before="0" w:after="200"/>
              <w:jc w:val="left"/>
              <w:rPr/>
            </w:pPr>
            <w:r>
              <w:rPr/>
            </w:r>
          </w:p>
        </w:tc>
      </w:tr>
      <w:tr>
        <w:trPr>
          <w:cantSplit/>
        </w:trPr>
        <w:tc>
          <w:tcPr>
            <w:tcW w:w="313" w:type="dxa"/>
            <w:tcBorders/>
          </w:tcPr>
          <w:p>
            <w:pPr>
              <w:pStyle w:val="Normal"/>
              <w:numPr>
                <w:ilvl w:val="0"/>
                <w:numId w:val="0"/>
              </w:numPr>
              <w:spacing w:lineRule="auto" w:line="240" w:before="120" w:after="120"/>
              <w:ind w:hanging="0" w:left="0"/>
              <w:jc w:val="right"/>
              <w:rPr>
                <w:rFonts w:ascii="Arial" w:hAnsi="Arial" w:eastAsia="Times New Roman" w:cs="Arial"/>
                <w:b/>
                <w:szCs w:val="20"/>
                <w:lang w:eastAsia="en-GB"/>
              </w:rPr>
            </w:pPr>
            <w:r>
              <w:rPr>
                <w:rFonts w:eastAsia="Times New Roman" w:cs="Arial" w:ascii="Arial" w:hAnsi="Arial"/>
                <w:b/>
                <w:szCs w:val="20"/>
                <w:lang w:eastAsia="en-GB"/>
              </w:rPr>
            </w:r>
          </w:p>
        </w:tc>
        <w:tc>
          <w:tcPr>
            <w:tcW w:w="50" w:type="dxa"/>
            <w:tcBorders/>
          </w:tcPr>
          <w:p>
            <w:pPr>
              <w:pStyle w:val="Normal"/>
              <w:numPr>
                <w:ilvl w:val="0"/>
                <w:numId w:val="0"/>
              </w:numPr>
              <w:spacing w:lineRule="auto" w:line="240" w:before="120" w:after="120"/>
              <w:ind w:hanging="0" w:left="0"/>
              <w:jc w:val="right"/>
              <w:rPr>
                <w:rFonts w:ascii="Arial" w:hAnsi="Arial" w:eastAsia="Times New Roman" w:cs="Arial"/>
                <w:b/>
                <w:szCs w:val="20"/>
                <w:lang w:eastAsia="en-GB"/>
              </w:rPr>
            </w:pPr>
            <w:r>
              <w:rPr>
                <w:rFonts w:eastAsia="Times New Roman" w:cs="Arial" w:ascii="Arial" w:hAnsi="Arial"/>
                <w:b/>
                <w:szCs w:val="20"/>
                <w:lang w:eastAsia="en-GB"/>
              </w:rPr>
            </w:r>
          </w:p>
        </w:tc>
        <w:tc>
          <w:tcPr>
            <w:tcW w:w="670" w:type="dxa"/>
            <w:tcBorders/>
          </w:tcPr>
          <w:p>
            <w:pPr>
              <w:pStyle w:val="Normal"/>
              <w:numPr>
                <w:ilvl w:val="0"/>
                <w:numId w:val="0"/>
              </w:numPr>
              <w:spacing w:lineRule="auto" w:line="240" w:before="120" w:after="120"/>
              <w:ind w:hanging="0" w:left="0"/>
              <w:jc w:val="right"/>
              <w:rPr>
                <w:rFonts w:ascii="Arial" w:hAnsi="Arial" w:eastAsia="Times New Roman" w:cs="Arial"/>
                <w:b/>
                <w:szCs w:val="20"/>
                <w:lang w:eastAsia="en-GB"/>
              </w:rPr>
            </w:pPr>
            <w:r>
              <w:rPr>
                <w:rFonts w:eastAsia="Times New Roman" w:cs="Arial" w:ascii="Arial" w:hAnsi="Arial"/>
                <w:b/>
                <w:szCs w:val="20"/>
                <w:lang w:eastAsia="en-GB"/>
              </w:rPr>
            </w:r>
          </w:p>
        </w:tc>
        <w:tc>
          <w:tcPr>
            <w:tcW w:w="2319" w:type="dxa"/>
            <w:gridSpan w:val="2"/>
            <w:tcBorders/>
          </w:tcPr>
          <w:p>
            <w:pPr>
              <w:pStyle w:val="Normal"/>
              <w:numPr>
                <w:ilvl w:val="0"/>
                <w:numId w:val="0"/>
              </w:numPr>
              <w:spacing w:lineRule="auto" w:line="240" w:before="120" w:after="120"/>
              <w:ind w:hanging="0" w:left="0"/>
              <w:jc w:val="right"/>
              <w:rPr>
                <w:rFonts w:ascii="Arial" w:hAnsi="Arial" w:eastAsia="Times New Roman" w:cs="Arial"/>
                <w:b/>
                <w:szCs w:val="20"/>
                <w:lang w:eastAsia="en-GB"/>
              </w:rPr>
            </w:pPr>
            <w:r>
              <w:rPr>
                <w:rFonts w:eastAsia="Times New Roman" w:cs="Arial" w:ascii="Arial" w:hAnsi="Arial"/>
                <w:b/>
                <w:szCs w:val="20"/>
                <w:lang w:eastAsia="en-GB"/>
              </w:rPr>
              <w:t>Full name(s)</w:t>
            </w:r>
          </w:p>
        </w:tc>
        <w:tc>
          <w:tcPr>
            <w:tcW w:w="3542" w:type="dxa"/>
            <w:gridSpan w:val="2"/>
            <w:tcBorders>
              <w:top w:val="single" w:sz="4" w:space="0" w:color="000000"/>
              <w:left w:val="single" w:sz="4" w:space="0" w:color="000000"/>
              <w:bottom w:val="single" w:sz="6" w:space="0" w:color="000000"/>
              <w:right w:val="single" w:sz="4" w:space="0" w:color="000000"/>
            </w:tcBorders>
          </w:tcPr>
          <w:p>
            <w:pPr>
              <w:pStyle w:val="Normal"/>
              <w:numPr>
                <w:ilvl w:val="0"/>
                <w:numId w:val="0"/>
              </w:numPr>
              <w:spacing w:lineRule="auto" w:line="240" w:before="120" w:after="120"/>
              <w:ind w:hanging="0" w:left="0"/>
              <w:rPr>
                <w:rFonts w:ascii="Arial" w:hAnsi="Arial" w:eastAsia="Times New Roman" w:cs="Arial"/>
                <w:szCs w:val="20"/>
                <w:lang w:eastAsia="en-GB"/>
              </w:rPr>
            </w:pPr>
            <w:r>
              <w:rPr>
                <w:rFonts w:eastAsia="Times New Roman" w:cs="Arial" w:ascii="Arial" w:hAnsi="Arial"/>
                <w:szCs w:val="20"/>
                <w:lang w:eastAsia="en-GB"/>
              </w:rPr>
            </w:r>
          </w:p>
        </w:tc>
        <w:tc>
          <w:tcPr>
            <w:tcW w:w="3829" w:type="dxa"/>
            <w:gridSpan w:val="2"/>
            <w:tcBorders>
              <w:top w:val="single" w:sz="4" w:space="0" w:color="000000"/>
              <w:left w:val="single" w:sz="4" w:space="0" w:color="000000"/>
              <w:bottom w:val="single" w:sz="6" w:space="0" w:color="000000"/>
              <w:right w:val="single" w:sz="4" w:space="0" w:color="000000"/>
            </w:tcBorders>
          </w:tcPr>
          <w:p>
            <w:pPr>
              <w:pStyle w:val="Normal"/>
              <w:numPr>
                <w:ilvl w:val="0"/>
                <w:numId w:val="0"/>
              </w:numPr>
              <w:spacing w:lineRule="auto" w:line="240" w:before="0" w:after="0"/>
              <w:ind w:hanging="0" w:left="0"/>
              <w:rPr>
                <w:rFonts w:ascii="Arial" w:hAnsi="Arial" w:eastAsia="Times New Roman" w:cs="Arial"/>
                <w:szCs w:val="20"/>
                <w:lang w:eastAsia="en-GB"/>
              </w:rPr>
            </w:pPr>
            <w:r>
              <w:rPr>
                <w:rFonts w:eastAsia="Times New Roman" w:cs="Arial" w:ascii="Arial" w:hAnsi="Arial"/>
                <w:szCs w:val="20"/>
                <w:lang w:eastAsia="en-GB"/>
              </w:rPr>
            </w:r>
          </w:p>
        </w:tc>
        <w:tc>
          <w:tcPr>
            <w:tcW w:w="48" w:type="dxa"/>
            <w:tcBorders/>
          </w:tcPr>
          <w:p>
            <w:pPr>
              <w:pStyle w:val="Normal"/>
              <w:widowControl/>
              <w:bidi w:val="0"/>
              <w:spacing w:lineRule="auto" w:line="276" w:before="0" w:after="200"/>
              <w:jc w:val="left"/>
              <w:rPr/>
            </w:pPr>
            <w:r>
              <w:rPr/>
            </w:r>
          </w:p>
        </w:tc>
        <w:tc>
          <w:tcPr>
            <w:tcW w:w="378" w:type="dxa"/>
            <w:tcBorders/>
          </w:tcPr>
          <w:p>
            <w:pPr>
              <w:pStyle w:val="Normal"/>
              <w:widowControl/>
              <w:bidi w:val="0"/>
              <w:spacing w:lineRule="auto" w:line="276" w:before="0" w:after="200"/>
              <w:jc w:val="left"/>
              <w:rPr/>
            </w:pPr>
            <w:r>
              <w:rPr/>
            </w:r>
          </w:p>
        </w:tc>
      </w:tr>
      <w:tr>
        <w:trPr>
          <w:cantSplit/>
        </w:trPr>
        <w:tc>
          <w:tcPr>
            <w:tcW w:w="313" w:type="dxa"/>
            <w:tcBorders/>
          </w:tcPr>
          <w:p>
            <w:pPr>
              <w:pStyle w:val="Normal"/>
              <w:numPr>
                <w:ilvl w:val="0"/>
                <w:numId w:val="0"/>
              </w:numPr>
              <w:spacing w:lineRule="auto" w:line="240" w:before="0" w:after="0"/>
              <w:ind w:hanging="0" w:left="0"/>
              <w:rPr>
                <w:rFonts w:ascii="Arial" w:hAnsi="Arial" w:eastAsia="Times New Roman" w:cs="Arial"/>
                <w:vanish/>
                <w:sz w:val="16"/>
                <w:szCs w:val="20"/>
                <w:lang w:eastAsia="en-GB"/>
              </w:rPr>
            </w:pPr>
            <w:r>
              <w:rPr>
                <w:rFonts w:eastAsia="Times New Roman" w:cs="Arial" w:ascii="Arial" w:hAnsi="Arial"/>
                <w:vanish/>
                <w:sz w:val="16"/>
                <w:szCs w:val="20"/>
                <w:lang w:eastAsia="en-GB"/>
              </w:rPr>
            </w:r>
          </w:p>
        </w:tc>
        <w:tc>
          <w:tcPr>
            <w:tcW w:w="50" w:type="dxa"/>
            <w:tcBorders/>
          </w:tcPr>
          <w:p>
            <w:pPr>
              <w:pStyle w:val="Normal"/>
              <w:numPr>
                <w:ilvl w:val="0"/>
                <w:numId w:val="0"/>
              </w:numPr>
              <w:spacing w:lineRule="auto" w:line="240" w:before="0" w:after="0"/>
              <w:ind w:hanging="0" w:left="0"/>
              <w:rPr>
                <w:rFonts w:ascii="Arial" w:hAnsi="Arial" w:eastAsia="Times New Roman" w:cs="Arial"/>
                <w:vanish/>
                <w:sz w:val="16"/>
                <w:szCs w:val="20"/>
                <w:lang w:eastAsia="en-GB"/>
              </w:rPr>
            </w:pPr>
            <w:r>
              <w:rPr>
                <w:rFonts w:eastAsia="Times New Roman" w:cs="Arial" w:ascii="Arial" w:hAnsi="Arial"/>
                <w:vanish/>
                <w:sz w:val="16"/>
                <w:szCs w:val="20"/>
                <w:lang w:eastAsia="en-GB"/>
              </w:rPr>
            </w:r>
          </w:p>
        </w:tc>
        <w:tc>
          <w:tcPr>
            <w:tcW w:w="670" w:type="dxa"/>
            <w:tcBorders/>
          </w:tcPr>
          <w:p>
            <w:pPr>
              <w:pStyle w:val="Normal"/>
              <w:numPr>
                <w:ilvl w:val="0"/>
                <w:numId w:val="0"/>
              </w:numPr>
              <w:spacing w:lineRule="auto" w:line="240" w:before="0" w:after="0"/>
              <w:ind w:hanging="0" w:left="0"/>
              <w:rPr>
                <w:rFonts w:ascii="Arial" w:hAnsi="Arial" w:eastAsia="Times New Roman" w:cs="Arial"/>
                <w:vanish/>
                <w:sz w:val="16"/>
                <w:szCs w:val="20"/>
                <w:lang w:eastAsia="en-GB"/>
              </w:rPr>
            </w:pPr>
            <w:r>
              <w:rPr>
                <w:rFonts w:eastAsia="Times New Roman" w:cs="Arial" w:ascii="Arial" w:hAnsi="Arial"/>
                <w:vanish/>
                <w:sz w:val="16"/>
                <w:szCs w:val="20"/>
                <w:lang w:eastAsia="en-GB"/>
              </w:rPr>
            </w:r>
          </w:p>
        </w:tc>
        <w:tc>
          <w:tcPr>
            <w:tcW w:w="9690" w:type="dxa"/>
            <w:gridSpan w:val="6"/>
            <w:tcBorders/>
          </w:tcPr>
          <w:p>
            <w:pPr>
              <w:pStyle w:val="Normal"/>
              <w:numPr>
                <w:ilvl w:val="0"/>
                <w:numId w:val="0"/>
              </w:numPr>
              <w:spacing w:lineRule="auto" w:line="240" w:before="0" w:after="0"/>
              <w:ind w:hanging="0" w:left="0"/>
              <w:rPr>
                <w:rFonts w:ascii="Arial" w:hAnsi="Arial" w:eastAsia="Times New Roman" w:cs="Arial"/>
                <w:vanish/>
                <w:sz w:val="16"/>
                <w:szCs w:val="20"/>
                <w:lang w:eastAsia="en-GB"/>
              </w:rPr>
            </w:pPr>
            <w:r>
              <w:rPr>
                <w:rFonts w:eastAsia="Times New Roman" w:cs="Arial" w:ascii="Arial" w:hAnsi="Arial"/>
                <w:vanish/>
                <w:sz w:val="16"/>
                <w:szCs w:val="20"/>
                <w:lang w:eastAsia="en-GB"/>
              </w:rPr>
            </w:r>
          </w:p>
        </w:tc>
        <w:tc>
          <w:tcPr>
            <w:tcW w:w="48" w:type="dxa"/>
            <w:tcBorders/>
          </w:tcPr>
          <w:p>
            <w:pPr>
              <w:pStyle w:val="Normal"/>
              <w:widowControl/>
              <w:bidi w:val="0"/>
              <w:spacing w:lineRule="auto" w:line="276" w:before="0" w:after="200"/>
              <w:jc w:val="left"/>
              <w:rPr/>
            </w:pPr>
            <w:r>
              <w:rPr/>
            </w:r>
          </w:p>
        </w:tc>
        <w:tc>
          <w:tcPr>
            <w:tcW w:w="378" w:type="dxa"/>
            <w:tcBorders/>
          </w:tcPr>
          <w:p>
            <w:pPr>
              <w:pStyle w:val="Normal"/>
              <w:widowControl/>
              <w:bidi w:val="0"/>
              <w:spacing w:lineRule="auto" w:line="276" w:before="0" w:after="200"/>
              <w:jc w:val="left"/>
              <w:rPr/>
            </w:pPr>
            <w:r>
              <w:rPr/>
            </w:r>
          </w:p>
        </w:tc>
      </w:tr>
      <w:tr>
        <w:trPr>
          <w:cantSplit/>
        </w:trPr>
        <w:tc>
          <w:tcPr>
            <w:tcW w:w="313" w:type="dxa"/>
            <w:tcBorders/>
          </w:tcPr>
          <w:p>
            <w:pPr>
              <w:pStyle w:val="Normal"/>
              <w:numPr>
                <w:ilvl w:val="0"/>
                <w:numId w:val="0"/>
              </w:numPr>
              <w:spacing w:lineRule="auto" w:line="240" w:before="0" w:after="0"/>
              <w:ind w:hanging="0" w:left="0"/>
              <w:jc w:val="right"/>
              <w:rPr>
                <w:rFonts w:ascii="Arial" w:hAnsi="Arial" w:eastAsia="Times New Roman" w:cs="Arial"/>
                <w:b/>
                <w:szCs w:val="20"/>
                <w:lang w:eastAsia="en-GB"/>
              </w:rPr>
            </w:pPr>
            <w:r>
              <w:rPr>
                <w:rFonts w:eastAsia="Times New Roman" w:cs="Arial" w:ascii="Arial" w:hAnsi="Arial"/>
                <w:b/>
                <w:szCs w:val="20"/>
                <w:lang w:eastAsia="en-GB"/>
              </w:rPr>
            </w:r>
          </w:p>
        </w:tc>
        <w:tc>
          <w:tcPr>
            <w:tcW w:w="3017" w:type="dxa"/>
            <w:gridSpan w:val="3"/>
            <w:tcBorders/>
          </w:tcPr>
          <w:p>
            <w:pPr>
              <w:pStyle w:val="Normal"/>
              <w:numPr>
                <w:ilvl w:val="0"/>
                <w:numId w:val="0"/>
              </w:numPr>
              <w:spacing w:lineRule="auto" w:line="240" w:before="0" w:after="0"/>
              <w:ind w:hanging="0" w:left="0"/>
              <w:jc w:val="right"/>
              <w:rPr>
                <w:rFonts w:ascii="Arial" w:hAnsi="Arial" w:eastAsia="Times New Roman" w:cs="Arial"/>
                <w:b/>
                <w:szCs w:val="20"/>
                <w:lang w:eastAsia="en-GB"/>
              </w:rPr>
            </w:pPr>
            <w:r>
              <w:rPr>
                <w:rFonts w:eastAsia="Times New Roman" w:cs="Arial" w:ascii="Arial" w:hAnsi="Arial"/>
                <w:b/>
                <w:szCs w:val="20"/>
                <w:lang w:eastAsia="en-GB"/>
              </w:rPr>
              <w:t xml:space="preserve">    </w:t>
            </w:r>
            <w:r>
              <w:rPr>
                <w:rFonts w:eastAsia="Times New Roman" w:cs="Arial" w:ascii="Arial" w:hAnsi="Arial"/>
                <w:b/>
                <w:szCs w:val="20"/>
                <w:lang w:eastAsia="en-GB"/>
              </w:rPr>
              <w:t>Position (eg Secretary, Chair, etc)</w:t>
            </w:r>
          </w:p>
        </w:tc>
        <w:tc>
          <w:tcPr>
            <w:tcW w:w="3544"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rPr>
                <w:rFonts w:ascii="Arial" w:hAnsi="Arial" w:eastAsia="Times New Roman" w:cs="Arial"/>
                <w:szCs w:val="20"/>
                <w:lang w:eastAsia="en-GB"/>
              </w:rPr>
            </w:pPr>
            <w:r>
              <w:rPr>
                <w:rFonts w:eastAsia="Times New Roman" w:cs="Arial" w:ascii="Arial" w:hAnsi="Arial"/>
                <w:szCs w:val="20"/>
                <w:lang w:eastAsia="en-GB"/>
              </w:rPr>
            </w:r>
          </w:p>
        </w:tc>
        <w:tc>
          <w:tcPr>
            <w:tcW w:w="3829"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rPr>
                <w:rFonts w:ascii="Arial" w:hAnsi="Arial" w:eastAsia="Times New Roman" w:cs="Arial"/>
                <w:vanish/>
                <w:szCs w:val="20"/>
                <w:lang w:eastAsia="en-GB"/>
              </w:rPr>
            </w:pPr>
            <w:r>
              <w:rPr>
                <w:rFonts w:eastAsia="Times New Roman" w:cs="Arial" w:ascii="Arial" w:hAnsi="Arial"/>
                <w:vanish/>
                <w:szCs w:val="20"/>
                <w:lang w:eastAsia="en-GB"/>
              </w:rPr>
            </w:r>
          </w:p>
        </w:tc>
        <w:tc>
          <w:tcPr>
            <w:tcW w:w="20" w:type="dxa"/>
            <w:tcBorders/>
          </w:tcPr>
          <w:p>
            <w:pPr>
              <w:pStyle w:val="Normal"/>
              <w:widowControl/>
              <w:bidi w:val="0"/>
              <w:spacing w:lineRule="auto" w:line="276" w:before="0" w:after="200"/>
              <w:jc w:val="left"/>
              <w:rPr/>
            </w:pPr>
            <w:r>
              <w:rPr/>
            </w:r>
          </w:p>
        </w:tc>
        <w:tc>
          <w:tcPr>
            <w:tcW w:w="48" w:type="dxa"/>
            <w:tcBorders/>
          </w:tcPr>
          <w:p>
            <w:pPr>
              <w:pStyle w:val="Normal"/>
              <w:widowControl/>
              <w:bidi w:val="0"/>
              <w:spacing w:lineRule="auto" w:line="276" w:before="0" w:after="200"/>
              <w:jc w:val="left"/>
              <w:rPr/>
            </w:pPr>
            <w:r>
              <w:rPr/>
            </w:r>
          </w:p>
        </w:tc>
        <w:tc>
          <w:tcPr>
            <w:tcW w:w="378" w:type="dxa"/>
            <w:tcBorders/>
          </w:tcPr>
          <w:p>
            <w:pPr>
              <w:pStyle w:val="Normal"/>
              <w:widowControl/>
              <w:bidi w:val="0"/>
              <w:spacing w:lineRule="auto" w:line="276" w:before="0" w:after="200"/>
              <w:jc w:val="left"/>
              <w:rPr/>
            </w:pPr>
            <w:r>
              <w:rPr/>
            </w:r>
          </w:p>
        </w:tc>
      </w:tr>
      <w:tr>
        <w:trPr>
          <w:cantSplit/>
        </w:trPr>
        <w:tc>
          <w:tcPr>
            <w:tcW w:w="313" w:type="dxa"/>
            <w:tcBorders/>
          </w:tcPr>
          <w:p>
            <w:pPr>
              <w:pStyle w:val="Normal"/>
              <w:spacing w:lineRule="auto" w:line="240" w:before="0" w:after="0"/>
              <w:rPr>
                <w:rFonts w:ascii="Arial" w:hAnsi="Arial" w:eastAsia="Times New Roman" w:cs="Arial"/>
                <w:sz w:val="16"/>
                <w:szCs w:val="20"/>
                <w:lang w:eastAsia="en-GB"/>
              </w:rPr>
            </w:pPr>
            <w:r>
              <w:rPr>
                <w:rFonts w:eastAsia="Times New Roman" w:cs="Arial" w:ascii="Arial" w:hAnsi="Arial"/>
                <w:sz w:val="16"/>
                <w:szCs w:val="20"/>
                <w:lang w:eastAsia="en-GB"/>
              </w:rPr>
            </w:r>
          </w:p>
        </w:tc>
        <w:tc>
          <w:tcPr>
            <w:tcW w:w="10390" w:type="dxa"/>
            <w:gridSpan w:val="7"/>
            <w:tcBorders/>
          </w:tcPr>
          <w:p>
            <w:pPr>
              <w:pStyle w:val="Normal"/>
              <w:spacing w:lineRule="auto" w:line="240" w:before="0" w:after="0"/>
              <w:rPr>
                <w:rFonts w:ascii="Arial" w:hAnsi="Arial" w:eastAsia="Times New Roman" w:cs="Arial"/>
                <w:sz w:val="16"/>
                <w:szCs w:val="20"/>
                <w:lang w:eastAsia="en-GB"/>
              </w:rPr>
            </w:pPr>
            <w:r>
              <w:rPr>
                <w:rFonts w:eastAsia="Times New Roman" w:cs="Arial" w:ascii="Arial" w:hAnsi="Arial"/>
                <w:sz w:val="16"/>
                <w:szCs w:val="20"/>
                <w:lang w:eastAsia="en-GB"/>
              </w:rPr>
            </w:r>
          </w:p>
        </w:tc>
        <w:tc>
          <w:tcPr>
            <w:tcW w:w="20" w:type="dxa"/>
            <w:tcBorders/>
          </w:tcPr>
          <w:p>
            <w:pPr>
              <w:pStyle w:val="Normal"/>
              <w:widowControl/>
              <w:bidi w:val="0"/>
              <w:spacing w:lineRule="auto" w:line="276" w:before="0" w:after="200"/>
              <w:jc w:val="left"/>
              <w:rPr/>
            </w:pPr>
            <w:r>
              <w:rPr/>
            </w:r>
          </w:p>
        </w:tc>
        <w:tc>
          <w:tcPr>
            <w:tcW w:w="48" w:type="dxa"/>
            <w:tcBorders/>
          </w:tcPr>
          <w:p>
            <w:pPr>
              <w:pStyle w:val="Normal"/>
              <w:widowControl/>
              <w:bidi w:val="0"/>
              <w:spacing w:lineRule="auto" w:line="276" w:before="0" w:after="200"/>
              <w:jc w:val="left"/>
              <w:rPr/>
            </w:pPr>
            <w:r>
              <w:rPr/>
            </w:r>
          </w:p>
        </w:tc>
        <w:tc>
          <w:tcPr>
            <w:tcW w:w="378" w:type="dxa"/>
            <w:tcBorders/>
          </w:tcPr>
          <w:p>
            <w:pPr>
              <w:pStyle w:val="Normal"/>
              <w:widowControl/>
              <w:bidi w:val="0"/>
              <w:spacing w:lineRule="auto" w:line="276" w:before="0" w:after="200"/>
              <w:jc w:val="left"/>
              <w:rPr/>
            </w:pPr>
            <w:r>
              <w:rPr/>
            </w:r>
          </w:p>
        </w:tc>
      </w:tr>
      <w:tr>
        <w:trPr>
          <w:trHeight w:val="518" w:hRule="atLeast"/>
          <w:cantSplit/>
        </w:trPr>
        <w:tc>
          <w:tcPr>
            <w:tcW w:w="313" w:type="dxa"/>
            <w:tcBorders/>
          </w:tcPr>
          <w:p>
            <w:pPr>
              <w:pStyle w:val="Normal"/>
              <w:numPr>
                <w:ilvl w:val="0"/>
                <w:numId w:val="0"/>
              </w:numPr>
              <w:spacing w:lineRule="auto" w:line="240" w:before="0" w:after="0"/>
              <w:ind w:hanging="0" w:left="0"/>
              <w:jc w:val="right"/>
              <w:rPr>
                <w:rFonts w:ascii="Arial" w:hAnsi="Arial" w:eastAsia="Times New Roman" w:cs="Arial"/>
                <w:b/>
                <w:szCs w:val="20"/>
                <w:lang w:eastAsia="en-GB"/>
              </w:rPr>
            </w:pPr>
            <w:r>
              <w:rPr>
                <w:rFonts w:eastAsia="Times New Roman" w:cs="Arial" w:ascii="Arial" w:hAnsi="Arial"/>
                <w:b/>
                <w:szCs w:val="20"/>
                <w:lang w:eastAsia="en-GB"/>
              </w:rPr>
            </w:r>
          </w:p>
        </w:tc>
        <w:tc>
          <w:tcPr>
            <w:tcW w:w="50" w:type="dxa"/>
            <w:tcBorders/>
          </w:tcPr>
          <w:p>
            <w:pPr>
              <w:pStyle w:val="Normal"/>
              <w:numPr>
                <w:ilvl w:val="0"/>
                <w:numId w:val="0"/>
              </w:numPr>
              <w:spacing w:lineRule="auto" w:line="240" w:before="0" w:after="0"/>
              <w:ind w:hanging="0" w:left="0"/>
              <w:jc w:val="right"/>
              <w:rPr>
                <w:rFonts w:ascii="Arial" w:hAnsi="Arial" w:eastAsia="Times New Roman" w:cs="Arial"/>
                <w:b/>
                <w:szCs w:val="20"/>
                <w:lang w:eastAsia="en-GB"/>
              </w:rPr>
            </w:pPr>
            <w:r>
              <w:rPr>
                <w:rFonts w:eastAsia="Times New Roman" w:cs="Arial" w:ascii="Arial" w:hAnsi="Arial"/>
                <w:b/>
                <w:szCs w:val="20"/>
                <w:lang w:eastAsia="en-GB"/>
              </w:rPr>
            </w:r>
          </w:p>
        </w:tc>
        <w:tc>
          <w:tcPr>
            <w:tcW w:w="2967" w:type="dxa"/>
            <w:gridSpan w:val="2"/>
            <w:tcBorders/>
          </w:tcPr>
          <w:p>
            <w:pPr>
              <w:pStyle w:val="Normal"/>
              <w:numPr>
                <w:ilvl w:val="0"/>
                <w:numId w:val="0"/>
              </w:numPr>
              <w:spacing w:lineRule="auto" w:line="240" w:before="0" w:after="0"/>
              <w:ind w:hanging="0" w:left="0"/>
              <w:jc w:val="right"/>
              <w:rPr>
                <w:rFonts w:ascii="Arial" w:hAnsi="Arial" w:eastAsia="Times New Roman" w:cs="Arial"/>
                <w:b/>
                <w:szCs w:val="20"/>
                <w:lang w:eastAsia="en-GB"/>
              </w:rPr>
            </w:pPr>
            <w:r>
              <w:rPr>
                <w:rFonts w:eastAsia="Times New Roman" w:cs="Arial" w:ascii="Arial" w:hAnsi="Arial"/>
                <w:b/>
                <w:szCs w:val="20"/>
                <w:lang w:eastAsia="en-GB"/>
              </w:rPr>
              <w:t>Date</w:t>
            </w:r>
          </w:p>
        </w:tc>
        <w:tc>
          <w:tcPr>
            <w:tcW w:w="3544" w:type="dxa"/>
            <w:gridSpan w:val="2"/>
            <w:tcBorders>
              <w:top w:val="single" w:sz="6" w:space="0" w:color="000000"/>
              <w:left w:val="single" w:sz="6" w:space="0" w:color="000000"/>
              <w:bottom w:val="single" w:sz="6" w:space="0" w:color="000000"/>
              <w:right w:val="single" w:sz="4" w:space="0" w:color="000000"/>
            </w:tcBorders>
            <w:vAlign w:val="center"/>
          </w:tcPr>
          <w:p>
            <w:pPr>
              <w:pStyle w:val="Normal"/>
              <w:numPr>
                <w:ilvl w:val="0"/>
                <w:numId w:val="0"/>
              </w:numPr>
              <w:spacing w:lineRule="auto" w:line="240" w:before="0" w:after="0"/>
              <w:ind w:hanging="0" w:left="0"/>
              <w:rPr>
                <w:rFonts w:ascii="Arial" w:hAnsi="Arial" w:eastAsia="Times New Roman" w:cs="Arial"/>
                <w:szCs w:val="20"/>
                <w:lang w:eastAsia="en-GB"/>
              </w:rPr>
            </w:pPr>
            <w:r>
              <w:rPr>
                <w:rFonts w:eastAsia="Times New Roman" w:cs="Arial" w:ascii="Arial" w:hAnsi="Arial"/>
                <w:szCs w:val="20"/>
                <w:lang w:eastAsia="en-GB"/>
              </w:rPr>
            </w:r>
          </w:p>
        </w:tc>
        <w:tc>
          <w:tcPr>
            <w:tcW w:w="4275" w:type="dxa"/>
            <w:gridSpan w:val="5"/>
            <w:tcBorders/>
          </w:tcPr>
          <w:p>
            <w:pPr>
              <w:pStyle w:val="Normal"/>
              <w:numPr>
                <w:ilvl w:val="0"/>
                <w:numId w:val="0"/>
              </w:numPr>
              <w:spacing w:lineRule="auto" w:line="240" w:before="0" w:after="0"/>
              <w:ind w:hanging="0" w:left="0"/>
              <w:jc w:val="center"/>
              <w:rPr>
                <w:rFonts w:ascii="Arial" w:hAnsi="Arial" w:eastAsia="Times New Roman" w:cs="Arial"/>
                <w:szCs w:val="20"/>
                <w:lang w:eastAsia="en-GB"/>
              </w:rPr>
            </w:pPr>
            <w:r>
              <w:rPr>
                <w:rFonts w:eastAsia="Times New Roman" w:cs="Arial" w:ascii="Arial" w:hAnsi="Arial"/>
                <w:szCs w:val="20"/>
                <w:lang w:eastAsia="en-GB"/>
              </w:rPr>
            </w:r>
          </w:p>
        </w:tc>
      </w:tr>
    </w:tbl>
    <w:p>
      <w:pPr>
        <w:pStyle w:val="Normal"/>
        <w:spacing w:lineRule="auto" w:line="240" w:before="0" w:after="0"/>
        <w:rPr>
          <w:rFonts w:ascii="Arial" w:hAnsi="Arial" w:eastAsia="Times New Roman" w:cs="Arial"/>
          <w:sz w:val="12"/>
          <w:szCs w:val="12"/>
          <w:lang w:eastAsia="en-GB"/>
        </w:rPr>
      </w:pPr>
      <w:r>
        <w:rPr>
          <w:rFonts w:eastAsia="Times New Roman" w:cs="Arial" w:ascii="Arial" w:hAnsi="Arial"/>
          <w:sz w:val="12"/>
          <w:szCs w:val="12"/>
          <w:lang w:eastAsia="en-GB"/>
        </w:rPr>
      </w:r>
    </w:p>
    <w:p>
      <w:pPr>
        <w:pStyle w:val="Normal"/>
        <w:widowControl/>
        <w:bidi w:val="0"/>
        <w:spacing w:lineRule="auto" w:line="276" w:before="0" w:after="200"/>
        <w:jc w:val="left"/>
        <w:rPr>
          <w:rFonts w:ascii="Verdana" w:hAnsi="Verdana"/>
          <w:bCs/>
          <w:color w:val="444444"/>
          <w:sz w:val="24"/>
          <w:szCs w:val="24"/>
          <w:shd w:fill="FFFFFF" w:val="clear"/>
        </w:rPr>
      </w:pPr>
      <w:r>
        <w:rPr>
          <w:rFonts w:ascii="Verdana" w:hAnsi="Verdana"/>
          <w:bCs/>
          <w:color w:val="444444"/>
          <w:sz w:val="24"/>
          <w:szCs w:val="24"/>
          <w:shd w:fill="FFFFFF" w:val="clear"/>
        </w:rPr>
      </w:r>
    </w:p>
    <w:p>
      <w:pPr>
        <w:pStyle w:val="Normal"/>
        <w:tabs>
          <w:tab w:val="left" w:pos="360" w:leader="none"/>
          <w:tab w:val="left" w:pos="720" w:leader="none"/>
        </w:tabs>
        <w:spacing w:before="0" w:after="0"/>
        <w:rPr>
          <w:rFonts w:ascii="Verdana" w:hAnsi="Verdana"/>
          <w:bCs/>
          <w:color w:val="444444"/>
          <w:sz w:val="24"/>
          <w:szCs w:val="24"/>
          <w:shd w:fill="FFFFFF" w:val="clear"/>
        </w:rPr>
      </w:pPr>
      <w:r>
        <w:rPr>
          <w:rFonts w:ascii="Verdana" w:hAnsi="Verdana"/>
          <w:bCs/>
          <w:color w:val="444444"/>
          <w:sz w:val="24"/>
          <w:szCs w:val="24"/>
          <w:shd w:fill="FFFFFF" w:val="clear"/>
        </w:rPr>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swiss"/>
    <w:pitch w:val="variable"/>
  </w:font>
  <w:font w:name="Liberation Sans">
    <w:altName w:val="Arial"/>
    <w:charset w:val="00"/>
    <w:family w:val="swiss"/>
    <w:pitch w:val="variable"/>
  </w:font>
  <w:font w:name="Verdana">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40" w:hanging="360"/>
      </w:pPr>
      <w:rPr/>
    </w:lvl>
    <w:lvl w:ilvl="1">
      <w:start w:val="1"/>
      <w:numFmt w:val="decimal"/>
      <w:isLgl/>
      <w:lvlText w:val="%1.%2"/>
      <w:lvlJc w:val="left"/>
      <w:pPr>
        <w:tabs>
          <w:tab w:val="num" w:pos="0"/>
        </w:tabs>
        <w:ind w:left="990" w:hanging="720"/>
      </w:pPr>
      <w:rPr/>
    </w:lvl>
    <w:lvl w:ilvl="2">
      <w:start w:val="1"/>
      <w:numFmt w:val="decimal"/>
      <w:isLgl/>
      <w:lvlText w:val="%1.%2.%3"/>
      <w:lvlJc w:val="left"/>
      <w:pPr>
        <w:tabs>
          <w:tab w:val="num" w:pos="0"/>
        </w:tabs>
        <w:ind w:left="1800" w:hanging="720"/>
      </w:pPr>
      <w:rPr/>
    </w:lvl>
    <w:lvl w:ilvl="3">
      <w:start w:val="1"/>
      <w:numFmt w:val="decimal"/>
      <w:isLgl/>
      <w:lvlText w:val="%1.%2.%3.%4"/>
      <w:lvlJc w:val="left"/>
      <w:pPr>
        <w:tabs>
          <w:tab w:val="num" w:pos="0"/>
        </w:tabs>
        <w:ind w:left="2520" w:hanging="1080"/>
      </w:pPr>
      <w:rPr/>
    </w:lvl>
    <w:lvl w:ilvl="4">
      <w:start w:val="1"/>
      <w:numFmt w:val="decimal"/>
      <w:isLgl/>
      <w:lvlText w:val="%1.%2.%3.%4.%5"/>
      <w:lvlJc w:val="left"/>
      <w:pPr>
        <w:tabs>
          <w:tab w:val="num" w:pos="0"/>
        </w:tabs>
        <w:ind w:left="3240" w:hanging="1440"/>
      </w:pPr>
      <w:rPr/>
    </w:lvl>
    <w:lvl w:ilvl="5">
      <w:start w:val="1"/>
      <w:numFmt w:val="decimal"/>
      <w:isLgl/>
      <w:lvlText w:val="%1.%2.%3.%4.%5.%6"/>
      <w:lvlJc w:val="left"/>
      <w:pPr>
        <w:tabs>
          <w:tab w:val="num" w:pos="0"/>
        </w:tabs>
        <w:ind w:left="3600" w:hanging="1440"/>
      </w:pPr>
      <w:rPr/>
    </w:lvl>
    <w:lvl w:ilvl="6">
      <w:start w:val="1"/>
      <w:numFmt w:val="decimal"/>
      <w:isLgl/>
      <w:lvlText w:val="%1.%2.%3.%4.%5.%6.%7"/>
      <w:lvlJc w:val="left"/>
      <w:pPr>
        <w:tabs>
          <w:tab w:val="num" w:pos="0"/>
        </w:tabs>
        <w:ind w:left="4320" w:hanging="1800"/>
      </w:pPr>
      <w:rPr/>
    </w:lvl>
    <w:lvl w:ilvl="7">
      <w:start w:val="1"/>
      <w:numFmt w:val="decimal"/>
      <w:isLgl/>
      <w:lvlText w:val="%1.%2.%3.%4.%5.%6.%7.%8"/>
      <w:lvlJc w:val="left"/>
      <w:pPr>
        <w:tabs>
          <w:tab w:val="num" w:pos="0"/>
        </w:tabs>
        <w:ind w:left="4680" w:hanging="1800"/>
      </w:pPr>
      <w:rPr/>
    </w:lvl>
    <w:lvl w:ilvl="8">
      <w:start w:val="1"/>
      <w:numFmt w:val="decimal"/>
      <w:isLgl/>
      <w:lvlText w:val="%1.%2.%3.%4.%5.%6.%7.%8.%9"/>
      <w:lvlJc w:val="left"/>
      <w:pPr>
        <w:tabs>
          <w:tab w:val="num" w:pos="0"/>
        </w:tabs>
        <w:ind w:left="5400" w:hanging="2160"/>
      </w:pPr>
      <w:rPr/>
    </w:lvl>
  </w:abstractNum>
  <w:abstractNum w:abstractNumId="2">
    <w:lvl w:ilvl="0">
      <w:start w:val="1"/>
      <w:numFmt w:val="lowerRoman"/>
      <w:lvlText w:val="%1"/>
      <w:lvlJc w:val="left"/>
      <w:pPr>
        <w:tabs>
          <w:tab w:val="num" w:pos="0"/>
        </w:tabs>
        <w:ind w:left="180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5"/>
  <w:defaultTabStop w:val="720"/>
  <w:autoHyphenation w:val="true"/>
  <w:hyphenationZone w:val="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15131"/>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qFormat/>
    <w:rsid w:val="00951fbb"/>
    <w:pPr>
      <w:keepNext w:val="true"/>
      <w:spacing w:lineRule="auto" w:line="240" w:before="0" w:after="0"/>
      <w:outlineLvl w:val="0"/>
    </w:pPr>
    <w:rPr>
      <w:rFonts w:ascii="Times New Roman" w:hAnsi="Times New Roman" w:eastAsia="Times New Roman" w:cs="Times New Roman"/>
      <w:sz w:val="24"/>
      <w:szCs w:val="20"/>
      <w:lang w:val="en-GB"/>
    </w:rPr>
  </w:style>
  <w:style w:type="paragraph" w:styleId="Heading3">
    <w:name w:val="heading 3"/>
    <w:basedOn w:val="Normal"/>
    <w:next w:val="Normal"/>
    <w:link w:val="Heading3Char"/>
    <w:uiPriority w:val="9"/>
    <w:semiHidden/>
    <w:unhideWhenUsed/>
    <w:qFormat/>
    <w:rsid w:val="00af0640"/>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106e6c"/>
    <w:rPr>
      <w:rFonts w:ascii="Times New Roman" w:hAnsi="Times New Roman" w:eastAsia="Times New Roman" w:cs="Times New Roman"/>
      <w:sz w:val="20"/>
      <w:szCs w:val="20"/>
      <w:lang w:val="en-GB"/>
    </w:rPr>
  </w:style>
  <w:style w:type="character" w:styleId="Heading1Char" w:customStyle="1">
    <w:name w:val="Heading 1 Char"/>
    <w:basedOn w:val="DefaultParagraphFont"/>
    <w:link w:val="Heading1"/>
    <w:qFormat/>
    <w:rsid w:val="00951fbb"/>
    <w:rPr>
      <w:rFonts w:ascii="Times New Roman" w:hAnsi="Times New Roman" w:eastAsia="Times New Roman" w:cs="Times New Roman"/>
      <w:sz w:val="24"/>
      <w:szCs w:val="20"/>
      <w:lang w:val="en-GB"/>
    </w:rPr>
  </w:style>
  <w:style w:type="character" w:styleId="Heading3Char" w:customStyle="1">
    <w:name w:val="Heading 3 Char"/>
    <w:basedOn w:val="DefaultParagraphFont"/>
    <w:link w:val="Heading3"/>
    <w:uiPriority w:val="9"/>
    <w:semiHidden/>
    <w:qFormat/>
    <w:rsid w:val="00af0640"/>
    <w:rPr>
      <w:rFonts w:ascii="Cambria" w:hAnsi="Cambria" w:eastAsia="" w:cs="" w:asciiTheme="majorHAnsi" w:cstheme="majorBidi" w:eastAsiaTheme="majorEastAsia" w:hAnsiTheme="majorHAnsi"/>
      <w:b/>
      <w:bCs/>
      <w:color w:themeColor="accent1" w:val="4F81BD"/>
    </w:rPr>
  </w:style>
  <w:style w:type="character" w:styleId="Strong">
    <w:name w:val="Strong"/>
    <w:basedOn w:val="DefaultParagraphFont"/>
    <w:uiPriority w:val="22"/>
    <w:qFormat/>
    <w:rsid w:val="00af0640"/>
    <w:rPr>
      <w:b/>
      <w:bCs/>
    </w:rPr>
  </w:style>
  <w:style w:type="character" w:styleId="BalloonTextChar" w:customStyle="1">
    <w:name w:val="Balloon Text Char"/>
    <w:basedOn w:val="DefaultParagraphFont"/>
    <w:link w:val="BalloonText"/>
    <w:uiPriority w:val="99"/>
    <w:semiHidden/>
    <w:qFormat/>
    <w:rsid w:val="00af0640"/>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106e6c"/>
    <w:pPr>
      <w:tabs>
        <w:tab w:val="clear" w:pos="720"/>
        <w:tab w:val="center" w:pos="4513" w:leader="none"/>
        <w:tab w:val="right" w:pos="9026" w:leader="none"/>
      </w:tabs>
      <w:spacing w:lineRule="auto" w:line="240" w:before="0" w:after="0"/>
    </w:pPr>
    <w:rPr>
      <w:rFonts w:ascii="Times New Roman" w:hAnsi="Times New Roman" w:eastAsia="Times New Roman" w:cs="Times New Roman"/>
      <w:sz w:val="20"/>
      <w:szCs w:val="20"/>
      <w:lang w:val="en-GB"/>
    </w:rPr>
  </w:style>
  <w:style w:type="paragraph" w:styleId="ListParagraph">
    <w:name w:val="List Paragraph"/>
    <w:basedOn w:val="Normal"/>
    <w:uiPriority w:val="34"/>
    <w:qFormat/>
    <w:rsid w:val="00951fbb"/>
    <w:pPr>
      <w:spacing w:before="0" w:after="200"/>
      <w:ind w:left="720"/>
      <w:contextualSpacing/>
    </w:pPr>
    <w:rPr/>
  </w:style>
  <w:style w:type="paragraph" w:styleId="NormalWeb">
    <w:name w:val="Normal (Web)"/>
    <w:basedOn w:val="Normal"/>
    <w:uiPriority w:val="99"/>
    <w:semiHidden/>
    <w:unhideWhenUsed/>
    <w:qFormat/>
    <w:rsid w:val="00af0640"/>
    <w:pPr>
      <w:spacing w:lineRule="auto" w:line="240" w:beforeAutospacing="1" w:afterAutospacing="1"/>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af0640"/>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53</TotalTime>
  <Application>LibreOffice/26.2.5.2$Windows_X86_64 LibreOffice_project/cd7284b4cbbfeb507e630c1aac019f4157393acb</Application>
  <AppVersion>15.0000</AppVersion>
  <Pages>16</Pages>
  <Words>3269</Words>
  <Characters>17020</Characters>
  <CharactersWithSpaces>19996</CharactersWithSpaces>
  <Paragraphs>346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2024-07-31T09:37:00Z</dcterms:created>
  <dc:creator>Owner</dc:creator>
  <dc:description/>
  <dc:language>en-GB</dc:language>
  <cp:lastModifiedBy/>
  <dcterms:modified xsi:type="dcterms:W3CDTF">2026-09-10T08:09:45Z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